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CCF" w:rsidRDefault="00DF4770">
      <w:pPr>
        <w:rPr>
          <w:rFonts w:ascii="Times New Roman" w:eastAsia="仿宋_GB2312" w:hAnsi="Times New Roman" w:cs="Times New Roman"/>
          <w:sz w:val="28"/>
          <w:szCs w:val="28"/>
        </w:rPr>
      </w:pPr>
      <w:r>
        <w:rPr>
          <w:rFonts w:ascii="Times New Roman" w:eastAsia="仿宋_GB2312" w:hAnsi="Times New Roman" w:cs="Times New Roman"/>
          <w:sz w:val="28"/>
          <w:szCs w:val="28"/>
        </w:rPr>
        <w:t>附件</w:t>
      </w:r>
      <w:r>
        <w:rPr>
          <w:rFonts w:ascii="Times New Roman" w:eastAsia="仿宋_GB2312" w:hAnsi="Times New Roman" w:cs="Times New Roman"/>
          <w:sz w:val="28"/>
          <w:szCs w:val="28"/>
        </w:rPr>
        <w:t>1</w:t>
      </w:r>
    </w:p>
    <w:p w:rsidR="00192CCF" w:rsidRDefault="00DF4770" w:rsidP="007D0076">
      <w:pPr>
        <w:spacing w:beforeLines="50" w:afterLines="50" w:line="578" w:lineRule="exact"/>
        <w:jc w:val="center"/>
        <w:rPr>
          <w:rFonts w:ascii="Times New Roman" w:eastAsia="方正小标宋_GBK" w:hAnsi="Times New Roman" w:cs="Times New Roman"/>
          <w:sz w:val="40"/>
          <w:szCs w:val="40"/>
        </w:rPr>
      </w:pPr>
      <w:r>
        <w:rPr>
          <w:rFonts w:ascii="Times New Roman" w:eastAsia="方正小标宋_GBK" w:hAnsi="Times New Roman" w:cs="Times New Roman"/>
          <w:sz w:val="40"/>
          <w:szCs w:val="40"/>
        </w:rPr>
        <w:t>实验室安全</w:t>
      </w:r>
      <w:r>
        <w:rPr>
          <w:rFonts w:ascii="Times New Roman" w:eastAsia="方正小标宋_GBK" w:hAnsi="Times New Roman" w:cs="Times New Roman"/>
          <w:sz w:val="40"/>
          <w:szCs w:val="40"/>
        </w:rPr>
        <w:t>分类</w:t>
      </w:r>
      <w:r>
        <w:rPr>
          <w:rFonts w:ascii="Times New Roman" w:eastAsia="方正小标宋_GBK" w:hAnsi="Times New Roman" w:cs="Times New Roman"/>
          <w:sz w:val="40"/>
          <w:szCs w:val="40"/>
        </w:rPr>
        <w:t>标准</w:t>
      </w:r>
    </w:p>
    <w:tbl>
      <w:tblPr>
        <w:tblStyle w:val="a6"/>
        <w:tblW w:w="5000" w:type="pct"/>
        <w:tblLook w:val="04A0"/>
      </w:tblPr>
      <w:tblGrid>
        <w:gridCol w:w="2166"/>
        <w:gridCol w:w="2662"/>
        <w:gridCol w:w="9346"/>
      </w:tblGrid>
      <w:tr w:rsidR="00192CCF">
        <w:tc>
          <w:tcPr>
            <w:tcW w:w="764" w:type="pct"/>
            <w:tcBorders>
              <w:top w:val="single" w:sz="4" w:space="0" w:color="auto"/>
            </w:tcBorders>
          </w:tcPr>
          <w:p w:rsidR="00192CCF" w:rsidRDefault="00DF4770">
            <w:pPr>
              <w:spacing w:line="578"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安全类型</w:t>
            </w:r>
          </w:p>
        </w:tc>
        <w:tc>
          <w:tcPr>
            <w:tcW w:w="939" w:type="pct"/>
            <w:tcBorders>
              <w:top w:val="single" w:sz="4" w:space="0" w:color="auto"/>
            </w:tcBorders>
          </w:tcPr>
          <w:p w:rsidR="00192CCF" w:rsidRDefault="00DF4770">
            <w:pPr>
              <w:spacing w:line="578"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定义</w:t>
            </w:r>
          </w:p>
        </w:tc>
        <w:tc>
          <w:tcPr>
            <w:tcW w:w="3296" w:type="pct"/>
            <w:tcBorders>
              <w:top w:val="single" w:sz="4" w:space="0" w:color="auto"/>
            </w:tcBorders>
          </w:tcPr>
          <w:p w:rsidR="00192CCF" w:rsidRDefault="00DF4770">
            <w:pPr>
              <w:spacing w:line="578"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危险源及安全风险</w:t>
            </w:r>
          </w:p>
        </w:tc>
      </w:tr>
      <w:tr w:rsidR="00192CCF">
        <w:trPr>
          <w:trHeight w:val="3605"/>
        </w:trPr>
        <w:tc>
          <w:tcPr>
            <w:tcW w:w="764" w:type="pct"/>
            <w:vAlign w:val="center"/>
          </w:tcPr>
          <w:p w:rsidR="00192CCF" w:rsidRDefault="00DF4770">
            <w:pPr>
              <w:jc w:val="center"/>
              <w:rPr>
                <w:rFonts w:ascii="Times New Roman" w:eastAsia="黑体" w:hAnsi="Times New Roman" w:cs="Times New Roman"/>
                <w:sz w:val="28"/>
                <w:szCs w:val="28"/>
              </w:rPr>
            </w:pPr>
            <w:r>
              <w:rPr>
                <w:rFonts w:ascii="Times New Roman" w:eastAsia="仿宋_GB2312" w:hAnsi="Times New Roman" w:cs="Times New Roman"/>
                <w:sz w:val="28"/>
                <w:szCs w:val="28"/>
              </w:rPr>
              <w:t>化学类</w:t>
            </w:r>
          </w:p>
        </w:tc>
        <w:tc>
          <w:tcPr>
            <w:tcW w:w="939" w:type="pct"/>
            <w:vAlign w:val="center"/>
          </w:tcPr>
          <w:p w:rsidR="00192CCF" w:rsidRDefault="00DF4770">
            <w:pPr>
              <w:spacing w:line="480" w:lineRule="exact"/>
              <w:rPr>
                <w:rFonts w:ascii="Times New Roman" w:eastAsia="黑体" w:hAnsi="Times New Roman" w:cs="Times New Roman"/>
                <w:sz w:val="28"/>
                <w:szCs w:val="28"/>
              </w:rPr>
            </w:pPr>
            <w:r>
              <w:rPr>
                <w:rFonts w:ascii="Times New Roman" w:eastAsia="仿宋_GB2312" w:hAnsi="Times New Roman" w:cs="Times New Roman"/>
                <w:sz w:val="28"/>
                <w:szCs w:val="28"/>
              </w:rPr>
              <w:t>涉及化学反应和化学品的实验场所</w:t>
            </w:r>
          </w:p>
        </w:tc>
        <w:tc>
          <w:tcPr>
            <w:tcW w:w="3296" w:type="pct"/>
            <w:vAlign w:val="center"/>
          </w:tcPr>
          <w:p w:rsidR="00192CCF" w:rsidRDefault="00DF4770">
            <w:pPr>
              <w:spacing w:line="480" w:lineRule="exact"/>
              <w:rPr>
                <w:rFonts w:ascii="Times New Roman" w:eastAsia="黑体" w:hAnsi="Times New Roman" w:cs="Times New Roman"/>
                <w:sz w:val="28"/>
                <w:szCs w:val="28"/>
              </w:rPr>
            </w:pPr>
            <w:r>
              <w:rPr>
                <w:rFonts w:ascii="Times New Roman" w:eastAsia="仿宋_GB2312" w:hAnsi="Times New Roman" w:cs="Times New Roman"/>
                <w:sz w:val="28"/>
                <w:szCs w:val="28"/>
              </w:rPr>
              <w:t>这类实验室中的危险源主要分为两类，一类是易制爆、易制毒、有毒化学药品可能带来的化学性危险源；另一类是高压、高温及设备设施缺陷和防护缺陷所带来的物理性危险源。实验室从事的实验研究中涉及风险性大的因素，应明示于分类分级的标牌上，起到警示作用。管理重点是易制毒品、易制爆品、麻醉品和精神药品、国家应急管理部重点监管的危险化学品、实验气体、化学废弃物等的安全管理。</w:t>
            </w:r>
          </w:p>
        </w:tc>
      </w:tr>
      <w:tr w:rsidR="00192CCF">
        <w:trPr>
          <w:trHeight w:val="3035"/>
        </w:trPr>
        <w:tc>
          <w:tcPr>
            <w:tcW w:w="764" w:type="pct"/>
            <w:vAlign w:val="center"/>
          </w:tcPr>
          <w:p w:rsidR="00192CCF" w:rsidRDefault="00DF477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机械类</w:t>
            </w:r>
          </w:p>
        </w:tc>
        <w:tc>
          <w:tcPr>
            <w:tcW w:w="939" w:type="pct"/>
            <w:vAlign w:val="center"/>
          </w:tcPr>
          <w:p w:rsidR="00192CCF" w:rsidRDefault="00DF4770">
            <w:pPr>
              <w:spacing w:line="4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涉及机械设备、电气设备、特种设备等的实验场所</w:t>
            </w:r>
          </w:p>
        </w:tc>
        <w:tc>
          <w:tcPr>
            <w:tcW w:w="3296" w:type="pct"/>
            <w:vAlign w:val="center"/>
          </w:tcPr>
          <w:p w:rsidR="00192CCF" w:rsidRDefault="00DF4770">
            <w:pPr>
              <w:spacing w:line="4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这类实验室的主要危险源包括机械加工类高速设备、高压及大电流设备、激光设备、加热设备、起重机械、锅炉、压力容器等设备本身，以及可能产生的高空作业、高空坠物、倾倒砸压、承重超重等方面的危害。管理重点是高温、高压、高速运动等特殊设备及机械、电气等的安全管理，特种设备应按要求取得《特种设备使用登记证》《压力容器登记卡》或其他有关登记证件，定期检验，操作人员持证上岗并严格遵守操作规程。</w:t>
            </w:r>
          </w:p>
        </w:tc>
      </w:tr>
      <w:tr w:rsidR="00192CCF">
        <w:trPr>
          <w:trHeight w:val="761"/>
        </w:trPr>
        <w:tc>
          <w:tcPr>
            <w:tcW w:w="764" w:type="pct"/>
            <w:vAlign w:val="center"/>
          </w:tcPr>
          <w:p w:rsidR="00192CCF" w:rsidRDefault="00DF477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辐射类</w:t>
            </w:r>
          </w:p>
        </w:tc>
        <w:tc>
          <w:tcPr>
            <w:tcW w:w="939" w:type="pct"/>
            <w:vAlign w:val="center"/>
          </w:tcPr>
          <w:p w:rsidR="00192CCF" w:rsidRDefault="00DF4770">
            <w:pPr>
              <w:spacing w:line="4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涉及放射性同位素、射线装置等的实验场所</w:t>
            </w:r>
          </w:p>
        </w:tc>
        <w:tc>
          <w:tcPr>
            <w:tcW w:w="3296" w:type="pct"/>
            <w:vAlign w:val="center"/>
          </w:tcPr>
          <w:p w:rsidR="00192CCF" w:rsidRDefault="00DF4770">
            <w:pPr>
              <w:spacing w:line="4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这类实验室的</w:t>
            </w:r>
            <w:r>
              <w:rPr>
                <w:rFonts w:ascii="Times New Roman" w:eastAsia="仿宋_GB2312" w:hAnsi="Times New Roman" w:cs="Times New Roman"/>
                <w:sz w:val="28"/>
                <w:szCs w:val="28"/>
              </w:rPr>
              <w:t>主要危险源为放射性物质。管理重点是放射源及射线装置的使用资质、存放场所、涉辐人员防护、辐射废物处置等的安全管理。</w:t>
            </w:r>
          </w:p>
        </w:tc>
      </w:tr>
      <w:tr w:rsidR="00192CCF">
        <w:trPr>
          <w:trHeight w:val="1555"/>
        </w:trPr>
        <w:tc>
          <w:tcPr>
            <w:tcW w:w="764" w:type="pct"/>
            <w:vAlign w:val="center"/>
          </w:tcPr>
          <w:p w:rsidR="00192CCF" w:rsidRDefault="00DF477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生物类</w:t>
            </w:r>
          </w:p>
        </w:tc>
        <w:tc>
          <w:tcPr>
            <w:tcW w:w="939" w:type="pct"/>
            <w:vAlign w:val="center"/>
          </w:tcPr>
          <w:p w:rsidR="00192CCF" w:rsidRDefault="00DF4770">
            <w:pPr>
              <w:spacing w:line="4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涉及微生物和实验动物的实验场所</w:t>
            </w:r>
          </w:p>
        </w:tc>
        <w:tc>
          <w:tcPr>
            <w:tcW w:w="3296" w:type="pct"/>
            <w:vAlign w:val="center"/>
          </w:tcPr>
          <w:p w:rsidR="00192CCF" w:rsidRDefault="00DF4770">
            <w:pPr>
              <w:spacing w:line="4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这类实验室中的危险源</w:t>
            </w:r>
            <w:r>
              <w:rPr>
                <w:rFonts w:ascii="Times New Roman" w:eastAsia="仿宋_GB2312" w:hAnsi="Times New Roman" w:cs="Times New Roman"/>
                <w:sz w:val="28"/>
                <w:szCs w:val="28"/>
              </w:rPr>
              <w:t>主要分为两类，一类是病原微生物，包括病毒、细菌、真菌和寄生虫等；另一类是生物材料，包括转基因生物、实验动物、实验用传代细胞等。这些危险源的释放、扩散可能引起实验室内和外部环境空气、水、物体表面的污染或人体感染，即可对实验室人员、内外部环境造成危害。管理重点是开展病原微生物研究和实验必须在具备相应安全等级的实验场所进行，开展实验动物相关工作必须具有相应的许可证（包括生产许可证、使用许可证、从业人员资格证等），使用的实验动物及相关产品必须来自有实验动物生产许可证的单位且质量合格。</w:t>
            </w:r>
          </w:p>
        </w:tc>
      </w:tr>
      <w:tr w:rsidR="00192CCF">
        <w:trPr>
          <w:trHeight w:val="2405"/>
        </w:trPr>
        <w:tc>
          <w:tcPr>
            <w:tcW w:w="764" w:type="pct"/>
            <w:vAlign w:val="center"/>
          </w:tcPr>
          <w:p w:rsidR="00192CCF" w:rsidRDefault="00DF477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电子类</w:t>
            </w:r>
          </w:p>
        </w:tc>
        <w:tc>
          <w:tcPr>
            <w:tcW w:w="939" w:type="pct"/>
            <w:vAlign w:val="center"/>
          </w:tcPr>
          <w:p w:rsidR="00192CCF" w:rsidRDefault="00DF4770">
            <w:pPr>
              <w:spacing w:line="4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较多涉及计算机、电路</w:t>
            </w:r>
            <w:r>
              <w:rPr>
                <w:rFonts w:ascii="Times New Roman" w:eastAsia="仿宋_GB2312" w:hAnsi="Times New Roman" w:cs="Times New Roman"/>
                <w:sz w:val="28"/>
                <w:szCs w:val="28"/>
              </w:rPr>
              <w:t>板等的实验室，也包括各专业设立的机房</w:t>
            </w:r>
          </w:p>
        </w:tc>
        <w:tc>
          <w:tcPr>
            <w:tcW w:w="3296" w:type="pct"/>
            <w:vAlign w:val="center"/>
          </w:tcPr>
          <w:p w:rsidR="00192CCF" w:rsidRDefault="00DF4770">
            <w:pPr>
              <w:spacing w:line="4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这类实验室主要危险源是带电导体上的电能，如人员触电、电路短路、焊接灼伤等。管理重点是用电设备的管理。</w:t>
            </w:r>
          </w:p>
        </w:tc>
      </w:tr>
      <w:tr w:rsidR="00192CCF">
        <w:trPr>
          <w:trHeight w:val="1650"/>
        </w:trPr>
        <w:tc>
          <w:tcPr>
            <w:tcW w:w="764" w:type="pct"/>
            <w:tcBorders>
              <w:bottom w:val="single" w:sz="4" w:space="0" w:color="auto"/>
            </w:tcBorders>
            <w:vAlign w:val="center"/>
          </w:tcPr>
          <w:p w:rsidR="00192CCF" w:rsidRDefault="00DF477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其他类</w:t>
            </w:r>
          </w:p>
        </w:tc>
        <w:tc>
          <w:tcPr>
            <w:tcW w:w="939" w:type="pct"/>
            <w:tcBorders>
              <w:bottom w:val="single" w:sz="4" w:space="0" w:color="auto"/>
            </w:tcBorders>
            <w:vAlign w:val="center"/>
          </w:tcPr>
          <w:p w:rsidR="00192CCF" w:rsidRDefault="00DF4770">
            <w:pPr>
              <w:spacing w:line="4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不涉及上述危险源的实验场所</w:t>
            </w:r>
          </w:p>
        </w:tc>
        <w:tc>
          <w:tcPr>
            <w:tcW w:w="3296" w:type="pct"/>
            <w:tcBorders>
              <w:bottom w:val="single" w:sz="4" w:space="0" w:color="auto"/>
            </w:tcBorders>
            <w:vAlign w:val="center"/>
          </w:tcPr>
          <w:p w:rsidR="00192CCF" w:rsidRDefault="00DF4770">
            <w:pPr>
              <w:spacing w:line="4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主要危险源为用电设备引发的用电安全风险，以及漏水等用水安全风险，管理重点是规范用电用水。</w:t>
            </w:r>
          </w:p>
        </w:tc>
      </w:tr>
    </w:tbl>
    <w:p w:rsidR="00192CCF" w:rsidRDefault="00DF4770">
      <w:pPr>
        <w:jc w:val="center"/>
        <w:rPr>
          <w:rFonts w:ascii="Times New Roman" w:eastAsia="方正小标宋简体" w:hAnsi="Times New Roman" w:cs="Times New Roman"/>
          <w:color w:val="000000"/>
          <w:kern w:val="0"/>
          <w:sz w:val="40"/>
          <w:szCs w:val="40"/>
        </w:rPr>
      </w:pPr>
      <w:r>
        <w:rPr>
          <w:rFonts w:ascii="Times New Roman" w:eastAsia="方正小标宋简体" w:hAnsi="Times New Roman" w:cs="Times New Roman"/>
          <w:color w:val="000000"/>
          <w:kern w:val="0"/>
          <w:sz w:val="40"/>
          <w:szCs w:val="40"/>
        </w:rPr>
        <w:br w:type="page"/>
      </w:r>
      <w:r>
        <w:rPr>
          <w:rFonts w:ascii="Times New Roman" w:eastAsia="方正小标宋_GBK" w:hAnsi="Times New Roman" w:cs="Times New Roman"/>
          <w:sz w:val="40"/>
          <w:szCs w:val="40"/>
        </w:rPr>
        <w:lastRenderedPageBreak/>
        <w:t>实验室安全分级标准</w:t>
      </w:r>
    </w:p>
    <w:tbl>
      <w:tblPr>
        <w:tblStyle w:val="a6"/>
        <w:tblW w:w="5000" w:type="pct"/>
        <w:tblLook w:val="04A0"/>
      </w:tblPr>
      <w:tblGrid>
        <w:gridCol w:w="2169"/>
        <w:gridCol w:w="12005"/>
      </w:tblGrid>
      <w:tr w:rsidR="00192CCF">
        <w:tc>
          <w:tcPr>
            <w:tcW w:w="765" w:type="pct"/>
            <w:tcBorders>
              <w:top w:val="single" w:sz="4" w:space="0" w:color="auto"/>
            </w:tcBorders>
          </w:tcPr>
          <w:p w:rsidR="00192CCF" w:rsidRDefault="00DF4770">
            <w:pPr>
              <w:spacing w:line="578"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分级</w:t>
            </w:r>
          </w:p>
        </w:tc>
        <w:tc>
          <w:tcPr>
            <w:tcW w:w="4234" w:type="pct"/>
            <w:tcBorders>
              <w:top w:val="single" w:sz="4" w:space="0" w:color="auto"/>
            </w:tcBorders>
          </w:tcPr>
          <w:p w:rsidR="00192CCF" w:rsidRDefault="00DF4770">
            <w:pPr>
              <w:spacing w:line="578"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认定标准（涉及下列情况之一者，直接认定）</w:t>
            </w:r>
          </w:p>
        </w:tc>
      </w:tr>
      <w:tr w:rsidR="00192CCF">
        <w:trPr>
          <w:trHeight w:val="5430"/>
        </w:trPr>
        <w:tc>
          <w:tcPr>
            <w:tcW w:w="765" w:type="pct"/>
            <w:vAlign w:val="center"/>
          </w:tcPr>
          <w:p w:rsidR="00192CCF" w:rsidRDefault="00DF4770">
            <w:pPr>
              <w:spacing w:line="44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一级</w:t>
            </w:r>
          </w:p>
          <w:p w:rsidR="00192CCF" w:rsidRDefault="00DF4770">
            <w:pPr>
              <w:spacing w:line="44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高危险</w:t>
            </w:r>
            <w:r>
              <w:rPr>
                <w:rFonts w:ascii="Times New Roman" w:eastAsia="仿宋_GB2312" w:hAnsi="Times New Roman" w:cs="Times New Roman"/>
                <w:sz w:val="28"/>
                <w:szCs w:val="28"/>
              </w:rPr>
              <w:t>、</w:t>
            </w:r>
            <w:r>
              <w:rPr>
                <w:rFonts w:ascii="Times New Roman" w:eastAsia="仿宋_GB2312" w:hAnsi="Times New Roman" w:cs="Times New Roman"/>
                <w:sz w:val="28"/>
                <w:szCs w:val="28"/>
              </w:rPr>
              <w:t>红色</w:t>
            </w:r>
          </w:p>
        </w:tc>
        <w:tc>
          <w:tcPr>
            <w:tcW w:w="4234" w:type="pct"/>
            <w:vAlign w:val="center"/>
          </w:tcPr>
          <w:p w:rsidR="00192CCF" w:rsidRDefault="00DF4770">
            <w:pPr>
              <w:spacing w:line="44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存放或使用管制类危化品；</w:t>
            </w:r>
          </w:p>
          <w:p w:rsidR="00192CCF" w:rsidRDefault="00DF4770">
            <w:pPr>
              <w:spacing w:line="44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存放或使用易燃、易爆、高毒、腐蚀危险气体；</w:t>
            </w:r>
          </w:p>
          <w:p w:rsidR="00192CCF" w:rsidRDefault="00DF4770">
            <w:pPr>
              <w:spacing w:line="44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存放或使用第一、二类病原微生物；</w:t>
            </w:r>
          </w:p>
          <w:p w:rsidR="00192CCF" w:rsidRDefault="00DF4770">
            <w:pPr>
              <w:spacing w:line="44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存放或使用</w:t>
            </w:r>
            <w:r>
              <w:rPr>
                <w:rFonts w:ascii="Times New Roman" w:eastAsia="仿宋_GB2312" w:hAnsi="Times New Roman" w:cs="Times New Roman"/>
                <w:sz w:val="28"/>
                <w:szCs w:val="28"/>
              </w:rPr>
              <w:t>I</w:t>
            </w:r>
            <w:r>
              <w:rPr>
                <w:rFonts w:ascii="Times New Roman" w:eastAsia="仿宋_GB2312" w:hAnsi="Times New Roman" w:cs="Times New Roman"/>
                <w:sz w:val="28"/>
                <w:szCs w:val="28"/>
              </w:rPr>
              <w:t>类放射源及</w:t>
            </w:r>
            <w:r>
              <w:rPr>
                <w:rFonts w:ascii="Times New Roman" w:eastAsia="仿宋_GB2312" w:hAnsi="Times New Roman" w:cs="Times New Roman"/>
                <w:sz w:val="28"/>
                <w:szCs w:val="28"/>
              </w:rPr>
              <w:t>I</w:t>
            </w:r>
            <w:r>
              <w:rPr>
                <w:rFonts w:ascii="Times New Roman" w:eastAsia="仿宋_GB2312" w:hAnsi="Times New Roman" w:cs="Times New Roman"/>
                <w:sz w:val="28"/>
                <w:szCs w:val="28"/>
              </w:rPr>
              <w:t>类射线装置；</w:t>
            </w:r>
          </w:p>
          <w:p w:rsidR="00192CCF" w:rsidRDefault="00DF4770">
            <w:pPr>
              <w:spacing w:line="44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使用千伏以上高压电；</w:t>
            </w:r>
          </w:p>
          <w:p w:rsidR="00192CCF" w:rsidRDefault="00DF4770">
            <w:pPr>
              <w:spacing w:line="44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Times New Roman"/>
                <w:sz w:val="28"/>
                <w:szCs w:val="28"/>
              </w:rPr>
              <w:t>危险化学品（压缩气体或液化气体除外，下同）存量大于等于</w:t>
            </w:r>
            <w:r>
              <w:rPr>
                <w:rFonts w:ascii="Times New Roman" w:eastAsia="仿宋_GB2312" w:hAnsi="Times New Roman" w:cs="Times New Roman"/>
                <w:sz w:val="28"/>
                <w:szCs w:val="28"/>
              </w:rPr>
              <w:t>80L</w:t>
            </w:r>
            <w:r>
              <w:rPr>
                <w:rFonts w:ascii="Times New Roman" w:eastAsia="仿宋_GB2312" w:hAnsi="Times New Roman" w:cs="Times New Roman"/>
                <w:sz w:val="28"/>
                <w:szCs w:val="28"/>
              </w:rPr>
              <w:t>（或</w:t>
            </w:r>
            <w:r>
              <w:rPr>
                <w:rFonts w:ascii="Times New Roman" w:eastAsia="仿宋_GB2312" w:hAnsi="Times New Roman" w:cs="Times New Roman"/>
                <w:sz w:val="28"/>
                <w:szCs w:val="28"/>
              </w:rPr>
              <w:t>Kg</w:t>
            </w:r>
            <w:r>
              <w:rPr>
                <w:rFonts w:ascii="Times New Roman" w:eastAsia="仿宋_GB2312" w:hAnsi="Times New Roman" w:cs="Times New Roman"/>
                <w:sz w:val="28"/>
                <w:szCs w:val="28"/>
              </w:rPr>
              <w:t>）；</w:t>
            </w:r>
          </w:p>
          <w:p w:rsidR="00192CCF" w:rsidRDefault="00DF4770">
            <w:pPr>
              <w:spacing w:line="44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7.</w:t>
            </w:r>
            <w:r>
              <w:rPr>
                <w:rFonts w:ascii="Times New Roman" w:eastAsia="仿宋_GB2312" w:hAnsi="Times New Roman" w:cs="Times New Roman"/>
                <w:sz w:val="28"/>
                <w:szCs w:val="28"/>
              </w:rPr>
              <w:t>易燃易爆性化学品（压缩气体或液化气体除外，下同）存量大于等于</w:t>
            </w:r>
            <w:r>
              <w:rPr>
                <w:rFonts w:ascii="Times New Roman" w:eastAsia="仿宋_GB2312" w:hAnsi="Times New Roman" w:cs="Times New Roman"/>
                <w:sz w:val="28"/>
                <w:szCs w:val="28"/>
              </w:rPr>
              <w:t>40L</w:t>
            </w:r>
            <w:r>
              <w:rPr>
                <w:rFonts w:ascii="Times New Roman" w:eastAsia="仿宋_GB2312" w:hAnsi="Times New Roman" w:cs="Times New Roman"/>
                <w:sz w:val="28"/>
                <w:szCs w:val="28"/>
              </w:rPr>
              <w:t>（或</w:t>
            </w:r>
            <w:r>
              <w:rPr>
                <w:rFonts w:ascii="Times New Roman" w:eastAsia="仿宋_GB2312" w:hAnsi="Times New Roman" w:cs="Times New Roman"/>
                <w:sz w:val="28"/>
                <w:szCs w:val="28"/>
              </w:rPr>
              <w:t>Kg</w:t>
            </w:r>
            <w:r>
              <w:rPr>
                <w:rFonts w:ascii="Times New Roman" w:eastAsia="仿宋_GB2312" w:hAnsi="Times New Roman" w:cs="Times New Roman"/>
                <w:sz w:val="28"/>
                <w:szCs w:val="28"/>
              </w:rPr>
              <w:t>）；</w:t>
            </w:r>
          </w:p>
          <w:p w:rsidR="00192CCF" w:rsidRDefault="00DF4770">
            <w:pPr>
              <w:spacing w:line="44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8.</w:t>
            </w:r>
            <w:r>
              <w:rPr>
                <w:rFonts w:ascii="Times New Roman" w:eastAsia="仿宋_GB2312" w:hAnsi="Times New Roman" w:cs="Times New Roman"/>
                <w:sz w:val="28"/>
                <w:szCs w:val="28"/>
              </w:rPr>
              <w:t>存放或使用大型特种设备、单台套功率超</w:t>
            </w:r>
            <w:r>
              <w:rPr>
                <w:rFonts w:ascii="Times New Roman" w:eastAsia="仿宋_GB2312" w:hAnsi="Times New Roman" w:cs="Times New Roman"/>
                <w:sz w:val="28"/>
                <w:szCs w:val="28"/>
              </w:rPr>
              <w:t>10KW</w:t>
            </w:r>
            <w:r>
              <w:rPr>
                <w:rFonts w:ascii="Times New Roman" w:eastAsia="仿宋_GB2312" w:hAnsi="Times New Roman" w:cs="Times New Roman"/>
                <w:sz w:val="28"/>
                <w:szCs w:val="28"/>
              </w:rPr>
              <w:t>加热设备或单间实验室加热设备总功率超</w:t>
            </w:r>
            <w:r>
              <w:rPr>
                <w:rFonts w:ascii="Times New Roman" w:eastAsia="仿宋_GB2312" w:hAnsi="Times New Roman" w:cs="Times New Roman"/>
                <w:sz w:val="28"/>
                <w:szCs w:val="28"/>
              </w:rPr>
              <w:t>15KW</w:t>
            </w:r>
            <w:r>
              <w:rPr>
                <w:rFonts w:ascii="Times New Roman" w:eastAsia="仿宋_GB2312" w:hAnsi="Times New Roman" w:cs="Times New Roman"/>
                <w:sz w:val="28"/>
                <w:szCs w:val="28"/>
              </w:rPr>
              <w:t>、</w:t>
            </w:r>
            <w:r>
              <w:rPr>
                <w:rFonts w:ascii="Times New Roman" w:eastAsia="仿宋_GB2312" w:hAnsi="Times New Roman" w:cs="Times New Roman"/>
                <w:sz w:val="28"/>
                <w:szCs w:val="28"/>
              </w:rPr>
              <w:t>9.</w:t>
            </w:r>
            <w:r>
              <w:rPr>
                <w:rFonts w:ascii="Times New Roman" w:eastAsia="仿宋_GB2312" w:hAnsi="Times New Roman" w:cs="Times New Roman"/>
                <w:sz w:val="28"/>
                <w:szCs w:val="28"/>
              </w:rPr>
              <w:t>压力等级大于</w:t>
            </w:r>
            <w:r>
              <w:rPr>
                <w:rFonts w:ascii="Times New Roman" w:eastAsia="仿宋_GB2312" w:hAnsi="Times New Roman" w:cs="Times New Roman"/>
                <w:sz w:val="28"/>
                <w:szCs w:val="28"/>
              </w:rPr>
              <w:t>20MPa</w:t>
            </w:r>
            <w:r>
              <w:rPr>
                <w:rFonts w:ascii="Times New Roman" w:eastAsia="仿宋_GB2312" w:hAnsi="Times New Roman" w:cs="Times New Roman"/>
                <w:sz w:val="28"/>
                <w:szCs w:val="28"/>
              </w:rPr>
              <w:t>的高压容器；</w:t>
            </w:r>
          </w:p>
          <w:p w:rsidR="00192CCF" w:rsidRDefault="00DF4770">
            <w:pPr>
              <w:spacing w:line="44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10.</w:t>
            </w:r>
            <w:r>
              <w:rPr>
                <w:rFonts w:ascii="Times New Roman" w:eastAsia="仿宋_GB2312" w:hAnsi="Times New Roman" w:cs="Times New Roman"/>
                <w:sz w:val="28"/>
                <w:szCs w:val="28"/>
              </w:rPr>
              <w:t>按照《实验室安全风险评价表》（</w:t>
            </w:r>
            <w:r>
              <w:rPr>
                <w:rFonts w:ascii="Times New Roman" w:eastAsia="仿宋_GB2312" w:hAnsi="Times New Roman" w:cs="Times New Roman"/>
                <w:sz w:val="28"/>
                <w:szCs w:val="28"/>
              </w:rPr>
              <w:t>附表</w:t>
            </w:r>
            <w:r>
              <w:rPr>
                <w:rFonts w:ascii="Times New Roman" w:eastAsia="仿宋_GB2312" w:hAnsi="Times New Roman" w:cs="Times New Roman"/>
                <w:sz w:val="28"/>
                <w:szCs w:val="28"/>
              </w:rPr>
              <w:t>）评分</w:t>
            </w:r>
            <w:r>
              <w:rPr>
                <w:rFonts w:ascii="Times New Roman" w:eastAsia="仿宋_GB2312" w:hAnsi="Times New Roman" w:cs="Times New Roman"/>
                <w:sz w:val="28"/>
                <w:szCs w:val="28"/>
              </w:rPr>
              <w:t>≥80</w:t>
            </w:r>
            <w:r>
              <w:rPr>
                <w:rFonts w:ascii="Times New Roman" w:eastAsia="仿宋_GB2312" w:hAnsi="Times New Roman" w:cs="Times New Roman"/>
                <w:sz w:val="28"/>
                <w:szCs w:val="28"/>
              </w:rPr>
              <w:t>分。</w:t>
            </w:r>
          </w:p>
        </w:tc>
      </w:tr>
      <w:tr w:rsidR="00192CCF">
        <w:trPr>
          <w:trHeight w:val="3860"/>
        </w:trPr>
        <w:tc>
          <w:tcPr>
            <w:tcW w:w="765" w:type="pct"/>
            <w:vAlign w:val="center"/>
          </w:tcPr>
          <w:p w:rsidR="00192CCF" w:rsidRDefault="00DF4770">
            <w:pPr>
              <w:spacing w:line="44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二级</w:t>
            </w:r>
          </w:p>
          <w:p w:rsidR="00192CCF" w:rsidRDefault="00DF4770">
            <w:pPr>
              <w:spacing w:line="44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较高危险，橙色</w:t>
            </w:r>
          </w:p>
        </w:tc>
        <w:tc>
          <w:tcPr>
            <w:tcW w:w="4234" w:type="pct"/>
            <w:vAlign w:val="center"/>
          </w:tcPr>
          <w:p w:rsidR="00192CCF" w:rsidRDefault="00DF4770">
            <w:pPr>
              <w:spacing w:line="44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危险化学品存量大于等于</w:t>
            </w:r>
            <w:r>
              <w:rPr>
                <w:rFonts w:ascii="Times New Roman" w:eastAsia="仿宋_GB2312" w:hAnsi="Times New Roman" w:cs="Times New Roman"/>
                <w:sz w:val="28"/>
                <w:szCs w:val="28"/>
              </w:rPr>
              <w:t>60L</w:t>
            </w:r>
            <w:r>
              <w:rPr>
                <w:rFonts w:ascii="Times New Roman" w:eastAsia="仿宋_GB2312" w:hAnsi="Times New Roman" w:cs="Times New Roman"/>
                <w:sz w:val="28"/>
                <w:szCs w:val="28"/>
              </w:rPr>
              <w:t>（或</w:t>
            </w:r>
            <w:r>
              <w:rPr>
                <w:rFonts w:ascii="Times New Roman" w:eastAsia="仿宋_GB2312" w:hAnsi="Times New Roman" w:cs="Times New Roman"/>
                <w:sz w:val="28"/>
                <w:szCs w:val="28"/>
              </w:rPr>
              <w:t>Kg</w:t>
            </w:r>
            <w:r>
              <w:rPr>
                <w:rFonts w:ascii="Times New Roman" w:eastAsia="仿宋_GB2312" w:hAnsi="Times New Roman" w:cs="Times New Roman"/>
                <w:sz w:val="28"/>
                <w:szCs w:val="28"/>
              </w:rPr>
              <w:t>）且小于</w:t>
            </w:r>
            <w:r>
              <w:rPr>
                <w:rFonts w:ascii="Times New Roman" w:eastAsia="仿宋_GB2312" w:hAnsi="Times New Roman" w:cs="Times New Roman"/>
                <w:sz w:val="28"/>
                <w:szCs w:val="28"/>
              </w:rPr>
              <w:t>80L</w:t>
            </w:r>
            <w:r>
              <w:rPr>
                <w:rFonts w:ascii="Times New Roman" w:eastAsia="仿宋_GB2312" w:hAnsi="Times New Roman" w:cs="Times New Roman"/>
                <w:sz w:val="28"/>
                <w:szCs w:val="28"/>
              </w:rPr>
              <w:t>（或</w:t>
            </w:r>
            <w:r>
              <w:rPr>
                <w:rFonts w:ascii="Times New Roman" w:eastAsia="仿宋_GB2312" w:hAnsi="Times New Roman" w:cs="Times New Roman"/>
                <w:sz w:val="28"/>
                <w:szCs w:val="28"/>
              </w:rPr>
              <w:t>Kg</w:t>
            </w:r>
            <w:r>
              <w:rPr>
                <w:rFonts w:ascii="Times New Roman" w:eastAsia="仿宋_GB2312" w:hAnsi="Times New Roman" w:cs="Times New Roman"/>
                <w:sz w:val="28"/>
                <w:szCs w:val="28"/>
              </w:rPr>
              <w:t>）；</w:t>
            </w:r>
          </w:p>
          <w:p w:rsidR="00192CCF" w:rsidRDefault="00DF4770">
            <w:pPr>
              <w:spacing w:line="44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易燃易爆性化学品存量大于等于</w:t>
            </w:r>
            <w:r>
              <w:rPr>
                <w:rFonts w:ascii="Times New Roman" w:eastAsia="仿宋_GB2312" w:hAnsi="Times New Roman" w:cs="Times New Roman"/>
                <w:sz w:val="28"/>
                <w:szCs w:val="28"/>
              </w:rPr>
              <w:t>30L</w:t>
            </w:r>
            <w:r>
              <w:rPr>
                <w:rFonts w:ascii="Times New Roman" w:eastAsia="仿宋_GB2312" w:hAnsi="Times New Roman" w:cs="Times New Roman"/>
                <w:sz w:val="28"/>
                <w:szCs w:val="28"/>
              </w:rPr>
              <w:t>（或</w:t>
            </w:r>
            <w:r>
              <w:rPr>
                <w:rFonts w:ascii="Times New Roman" w:eastAsia="仿宋_GB2312" w:hAnsi="Times New Roman" w:cs="Times New Roman"/>
                <w:sz w:val="28"/>
                <w:szCs w:val="28"/>
              </w:rPr>
              <w:t>Kg</w:t>
            </w:r>
            <w:r>
              <w:rPr>
                <w:rFonts w:ascii="Times New Roman" w:eastAsia="仿宋_GB2312" w:hAnsi="Times New Roman" w:cs="Times New Roman"/>
                <w:sz w:val="28"/>
                <w:szCs w:val="28"/>
              </w:rPr>
              <w:t>）且小于</w:t>
            </w:r>
            <w:r>
              <w:rPr>
                <w:rFonts w:ascii="Times New Roman" w:eastAsia="仿宋_GB2312" w:hAnsi="Times New Roman" w:cs="Times New Roman"/>
                <w:sz w:val="28"/>
                <w:szCs w:val="28"/>
              </w:rPr>
              <w:t>40L</w:t>
            </w:r>
            <w:r>
              <w:rPr>
                <w:rFonts w:ascii="Times New Roman" w:eastAsia="仿宋_GB2312" w:hAnsi="Times New Roman" w:cs="Times New Roman"/>
                <w:sz w:val="28"/>
                <w:szCs w:val="28"/>
              </w:rPr>
              <w:t>（或</w:t>
            </w:r>
            <w:r>
              <w:rPr>
                <w:rFonts w:ascii="Times New Roman" w:eastAsia="仿宋_GB2312" w:hAnsi="Times New Roman" w:cs="Times New Roman"/>
                <w:sz w:val="28"/>
                <w:szCs w:val="28"/>
              </w:rPr>
              <w:t>Kg</w:t>
            </w:r>
            <w:r>
              <w:rPr>
                <w:rFonts w:ascii="Times New Roman" w:eastAsia="仿宋_GB2312" w:hAnsi="Times New Roman" w:cs="Times New Roman"/>
                <w:sz w:val="28"/>
                <w:szCs w:val="28"/>
              </w:rPr>
              <w:t>）；</w:t>
            </w:r>
          </w:p>
          <w:p w:rsidR="00192CCF" w:rsidRDefault="00DF4770">
            <w:pPr>
              <w:spacing w:line="44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存放或使用</w:t>
            </w:r>
            <w:r>
              <w:rPr>
                <w:rFonts w:ascii="Times New Roman" w:eastAsia="仿宋_GB2312" w:hAnsi="Times New Roman" w:cs="Times New Roman"/>
                <w:sz w:val="28"/>
                <w:szCs w:val="28"/>
              </w:rPr>
              <w:t>II</w:t>
            </w:r>
            <w:r>
              <w:rPr>
                <w:rFonts w:ascii="Times New Roman" w:eastAsia="仿宋_GB2312" w:hAnsi="Times New Roman" w:cs="Times New Roman"/>
                <w:sz w:val="28"/>
                <w:szCs w:val="28"/>
              </w:rPr>
              <w:t>、</w:t>
            </w:r>
            <w:r>
              <w:rPr>
                <w:rFonts w:ascii="Times New Roman" w:eastAsia="仿宋_GB2312" w:hAnsi="Times New Roman" w:cs="Times New Roman"/>
                <w:sz w:val="28"/>
                <w:szCs w:val="28"/>
              </w:rPr>
              <w:t>Ⅲ</w:t>
            </w:r>
            <w:r>
              <w:rPr>
                <w:rFonts w:ascii="Times New Roman" w:eastAsia="仿宋_GB2312" w:hAnsi="Times New Roman" w:cs="Times New Roman"/>
                <w:sz w:val="28"/>
                <w:szCs w:val="28"/>
              </w:rPr>
              <w:t>、</w:t>
            </w:r>
            <w:r>
              <w:rPr>
                <w:rFonts w:ascii="Times New Roman" w:eastAsia="仿宋_GB2312" w:hAnsi="Times New Roman" w:cs="Times New Roman"/>
                <w:sz w:val="28"/>
                <w:szCs w:val="28"/>
              </w:rPr>
              <w:t>Ⅳ</w:t>
            </w:r>
            <w:r>
              <w:rPr>
                <w:rFonts w:ascii="Times New Roman" w:eastAsia="仿宋_GB2312" w:hAnsi="Times New Roman" w:cs="Times New Roman"/>
                <w:sz w:val="28"/>
                <w:szCs w:val="28"/>
              </w:rPr>
              <w:t>类放射源及</w:t>
            </w:r>
            <w:r>
              <w:rPr>
                <w:rFonts w:ascii="Times New Roman" w:eastAsia="仿宋_GB2312" w:hAnsi="Times New Roman" w:cs="Times New Roman"/>
                <w:sz w:val="28"/>
                <w:szCs w:val="28"/>
              </w:rPr>
              <w:t>II</w:t>
            </w:r>
            <w:r>
              <w:rPr>
                <w:rFonts w:ascii="Times New Roman" w:eastAsia="仿宋_GB2312" w:hAnsi="Times New Roman" w:cs="Times New Roman"/>
                <w:sz w:val="28"/>
                <w:szCs w:val="28"/>
              </w:rPr>
              <w:t>类射线装置；</w:t>
            </w:r>
          </w:p>
          <w:p w:rsidR="00192CCF" w:rsidRDefault="00DF4770">
            <w:pPr>
              <w:spacing w:line="44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存放须办理《特种设备使用登记证》的起重类设备；</w:t>
            </w:r>
          </w:p>
          <w:p w:rsidR="00192CCF" w:rsidRDefault="00DF4770">
            <w:pPr>
              <w:spacing w:line="44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存放或使用机械加工类高速设备、三类及四类激光设备、强磁设备或强电设备；</w:t>
            </w:r>
          </w:p>
          <w:p w:rsidR="00192CCF" w:rsidRDefault="00DF4770">
            <w:pPr>
              <w:spacing w:line="44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Times New Roman"/>
                <w:sz w:val="28"/>
                <w:szCs w:val="28"/>
              </w:rPr>
              <w:t>按照《实验室安全风险评价表》评分，</w:t>
            </w:r>
            <w:r>
              <w:rPr>
                <w:rFonts w:ascii="Times New Roman" w:eastAsia="仿宋_GB2312" w:hAnsi="Times New Roman" w:cs="Times New Roman"/>
                <w:sz w:val="28"/>
                <w:szCs w:val="28"/>
              </w:rPr>
              <w:t>60</w:t>
            </w:r>
            <w:r>
              <w:rPr>
                <w:rFonts w:ascii="Times New Roman" w:eastAsia="仿宋_GB2312" w:hAnsi="Times New Roman" w:cs="Times New Roman"/>
                <w:sz w:val="28"/>
                <w:szCs w:val="28"/>
              </w:rPr>
              <w:t>分</w:t>
            </w:r>
            <w:r>
              <w:rPr>
                <w:rFonts w:ascii="Times New Roman" w:eastAsia="仿宋_GB2312" w:hAnsi="Times New Roman" w:cs="Times New Roman"/>
                <w:sz w:val="28"/>
                <w:szCs w:val="28"/>
              </w:rPr>
              <w:t>≤</w:t>
            </w:r>
            <w:r>
              <w:rPr>
                <w:rFonts w:ascii="Times New Roman" w:eastAsia="仿宋_GB2312" w:hAnsi="Times New Roman" w:cs="Times New Roman"/>
                <w:sz w:val="28"/>
                <w:szCs w:val="28"/>
              </w:rPr>
              <w:t>评分＜</w:t>
            </w:r>
            <w:r>
              <w:rPr>
                <w:rFonts w:ascii="Times New Roman" w:eastAsia="仿宋_GB2312" w:hAnsi="Times New Roman" w:cs="Times New Roman"/>
                <w:sz w:val="28"/>
                <w:szCs w:val="28"/>
              </w:rPr>
              <w:t>80</w:t>
            </w:r>
            <w:r>
              <w:rPr>
                <w:rFonts w:ascii="Times New Roman" w:eastAsia="仿宋_GB2312" w:hAnsi="Times New Roman" w:cs="Times New Roman"/>
                <w:sz w:val="28"/>
                <w:szCs w:val="28"/>
              </w:rPr>
              <w:t>分。</w:t>
            </w:r>
          </w:p>
        </w:tc>
      </w:tr>
      <w:tr w:rsidR="00192CCF">
        <w:trPr>
          <w:trHeight w:val="2380"/>
        </w:trPr>
        <w:tc>
          <w:tcPr>
            <w:tcW w:w="765" w:type="pct"/>
            <w:vAlign w:val="center"/>
          </w:tcPr>
          <w:p w:rsidR="00192CCF" w:rsidRDefault="00DF4770">
            <w:pPr>
              <w:spacing w:line="44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三级</w:t>
            </w:r>
          </w:p>
          <w:p w:rsidR="00192CCF" w:rsidRDefault="00DF4770">
            <w:pPr>
              <w:spacing w:line="44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中危险，黄色</w:t>
            </w:r>
          </w:p>
        </w:tc>
        <w:tc>
          <w:tcPr>
            <w:tcW w:w="4234" w:type="pct"/>
            <w:vAlign w:val="center"/>
          </w:tcPr>
          <w:p w:rsidR="00192CCF" w:rsidRDefault="00DF4770">
            <w:pPr>
              <w:spacing w:line="44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危险化学品存量大于等于</w:t>
            </w:r>
            <w:r>
              <w:rPr>
                <w:rFonts w:ascii="Times New Roman" w:eastAsia="仿宋_GB2312" w:hAnsi="Times New Roman" w:cs="Times New Roman"/>
                <w:sz w:val="28"/>
                <w:szCs w:val="28"/>
              </w:rPr>
              <w:t>40L</w:t>
            </w:r>
            <w:r>
              <w:rPr>
                <w:rFonts w:ascii="Times New Roman" w:eastAsia="仿宋_GB2312" w:hAnsi="Times New Roman" w:cs="Times New Roman"/>
                <w:sz w:val="28"/>
                <w:szCs w:val="28"/>
              </w:rPr>
              <w:t>（或</w:t>
            </w:r>
            <w:r>
              <w:rPr>
                <w:rFonts w:ascii="Times New Roman" w:eastAsia="仿宋_GB2312" w:hAnsi="Times New Roman" w:cs="Times New Roman"/>
                <w:sz w:val="28"/>
                <w:szCs w:val="28"/>
              </w:rPr>
              <w:t>Kg</w:t>
            </w:r>
            <w:r>
              <w:rPr>
                <w:rFonts w:ascii="Times New Roman" w:eastAsia="仿宋_GB2312" w:hAnsi="Times New Roman" w:cs="Times New Roman"/>
                <w:sz w:val="28"/>
                <w:szCs w:val="28"/>
              </w:rPr>
              <w:t>）且小于</w:t>
            </w:r>
            <w:r>
              <w:rPr>
                <w:rFonts w:ascii="Times New Roman" w:eastAsia="仿宋_GB2312" w:hAnsi="Times New Roman" w:cs="Times New Roman"/>
                <w:sz w:val="28"/>
                <w:szCs w:val="28"/>
              </w:rPr>
              <w:t>60L</w:t>
            </w:r>
            <w:r>
              <w:rPr>
                <w:rFonts w:ascii="Times New Roman" w:eastAsia="仿宋_GB2312" w:hAnsi="Times New Roman" w:cs="Times New Roman"/>
                <w:sz w:val="28"/>
                <w:szCs w:val="28"/>
              </w:rPr>
              <w:t>（或</w:t>
            </w:r>
            <w:r>
              <w:rPr>
                <w:rFonts w:ascii="Times New Roman" w:eastAsia="仿宋_GB2312" w:hAnsi="Times New Roman" w:cs="Times New Roman"/>
                <w:sz w:val="28"/>
                <w:szCs w:val="28"/>
              </w:rPr>
              <w:t>Kg</w:t>
            </w:r>
            <w:r>
              <w:rPr>
                <w:rFonts w:ascii="Times New Roman" w:eastAsia="仿宋_GB2312" w:hAnsi="Times New Roman" w:cs="Times New Roman"/>
                <w:sz w:val="28"/>
                <w:szCs w:val="28"/>
              </w:rPr>
              <w:t>）；</w:t>
            </w:r>
          </w:p>
          <w:p w:rsidR="00192CCF" w:rsidRDefault="00DF4770">
            <w:pPr>
              <w:spacing w:line="44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易燃易爆性化学品存量大于等于</w:t>
            </w:r>
            <w:r>
              <w:rPr>
                <w:rFonts w:ascii="Times New Roman" w:eastAsia="仿宋_GB2312" w:hAnsi="Times New Roman" w:cs="Times New Roman"/>
                <w:sz w:val="28"/>
                <w:szCs w:val="28"/>
              </w:rPr>
              <w:t>20L</w:t>
            </w:r>
            <w:r>
              <w:rPr>
                <w:rFonts w:ascii="Times New Roman" w:eastAsia="仿宋_GB2312" w:hAnsi="Times New Roman" w:cs="Times New Roman"/>
                <w:sz w:val="28"/>
                <w:szCs w:val="28"/>
              </w:rPr>
              <w:t>（或</w:t>
            </w:r>
            <w:r>
              <w:rPr>
                <w:rFonts w:ascii="Times New Roman" w:eastAsia="仿宋_GB2312" w:hAnsi="Times New Roman" w:cs="Times New Roman"/>
                <w:sz w:val="28"/>
                <w:szCs w:val="28"/>
              </w:rPr>
              <w:t>Kg</w:t>
            </w:r>
            <w:r>
              <w:rPr>
                <w:rFonts w:ascii="Times New Roman" w:eastAsia="仿宋_GB2312" w:hAnsi="Times New Roman" w:cs="Times New Roman"/>
                <w:sz w:val="28"/>
                <w:szCs w:val="28"/>
              </w:rPr>
              <w:t>）且小于</w:t>
            </w:r>
            <w:r>
              <w:rPr>
                <w:rFonts w:ascii="Times New Roman" w:eastAsia="仿宋_GB2312" w:hAnsi="Times New Roman" w:cs="Times New Roman"/>
                <w:sz w:val="28"/>
                <w:szCs w:val="28"/>
              </w:rPr>
              <w:t>30L</w:t>
            </w:r>
            <w:r>
              <w:rPr>
                <w:rFonts w:ascii="Times New Roman" w:eastAsia="仿宋_GB2312" w:hAnsi="Times New Roman" w:cs="Times New Roman"/>
                <w:sz w:val="28"/>
                <w:szCs w:val="28"/>
              </w:rPr>
              <w:t>（或</w:t>
            </w:r>
            <w:r>
              <w:rPr>
                <w:rFonts w:ascii="Times New Roman" w:eastAsia="仿宋_GB2312" w:hAnsi="Times New Roman" w:cs="Times New Roman"/>
                <w:sz w:val="28"/>
                <w:szCs w:val="28"/>
              </w:rPr>
              <w:t>Kg</w:t>
            </w:r>
            <w:r>
              <w:rPr>
                <w:rFonts w:ascii="Times New Roman" w:eastAsia="仿宋_GB2312" w:hAnsi="Times New Roman" w:cs="Times New Roman"/>
                <w:sz w:val="28"/>
                <w:szCs w:val="28"/>
              </w:rPr>
              <w:t>）；</w:t>
            </w:r>
          </w:p>
          <w:p w:rsidR="00192CCF" w:rsidRDefault="00DF4770">
            <w:pPr>
              <w:spacing w:line="44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存有传动类机械设备、转动类</w:t>
            </w:r>
            <w:r>
              <w:rPr>
                <w:rFonts w:ascii="Times New Roman" w:eastAsia="仿宋_GB2312" w:hAnsi="Times New Roman" w:cs="Times New Roman"/>
                <w:sz w:val="28"/>
                <w:szCs w:val="28"/>
              </w:rPr>
              <w:t>机械设备或高压设备；</w:t>
            </w:r>
          </w:p>
          <w:p w:rsidR="00192CCF" w:rsidRDefault="00DF4770">
            <w:pPr>
              <w:spacing w:line="44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按照《实验室安全风险评价表》评分，</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分</w:t>
            </w:r>
            <w:r>
              <w:rPr>
                <w:rFonts w:ascii="Times New Roman" w:eastAsia="仿宋_GB2312" w:hAnsi="Times New Roman" w:cs="Times New Roman"/>
                <w:sz w:val="28"/>
                <w:szCs w:val="28"/>
              </w:rPr>
              <w:t>≤</w:t>
            </w:r>
            <w:r>
              <w:rPr>
                <w:rFonts w:ascii="Times New Roman" w:eastAsia="仿宋_GB2312" w:hAnsi="Times New Roman" w:cs="Times New Roman"/>
                <w:sz w:val="28"/>
                <w:szCs w:val="28"/>
              </w:rPr>
              <w:t>评分＜</w:t>
            </w:r>
            <w:r>
              <w:rPr>
                <w:rFonts w:ascii="Times New Roman" w:eastAsia="仿宋_GB2312" w:hAnsi="Times New Roman" w:cs="Times New Roman"/>
                <w:sz w:val="28"/>
                <w:szCs w:val="28"/>
              </w:rPr>
              <w:t>60</w:t>
            </w:r>
            <w:r>
              <w:rPr>
                <w:rFonts w:ascii="Times New Roman" w:eastAsia="仿宋_GB2312" w:hAnsi="Times New Roman" w:cs="Times New Roman"/>
                <w:sz w:val="28"/>
                <w:szCs w:val="28"/>
              </w:rPr>
              <w:t>分。</w:t>
            </w:r>
          </w:p>
        </w:tc>
      </w:tr>
      <w:tr w:rsidR="00192CCF">
        <w:trPr>
          <w:trHeight w:val="1495"/>
        </w:trPr>
        <w:tc>
          <w:tcPr>
            <w:tcW w:w="765" w:type="pct"/>
            <w:vAlign w:val="center"/>
          </w:tcPr>
          <w:p w:rsidR="00192CCF" w:rsidRDefault="00DF4770">
            <w:pPr>
              <w:spacing w:line="44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四级</w:t>
            </w:r>
          </w:p>
          <w:p w:rsidR="00192CCF" w:rsidRDefault="00DF4770">
            <w:pPr>
              <w:spacing w:line="44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一般危险，蓝色</w:t>
            </w:r>
          </w:p>
        </w:tc>
        <w:tc>
          <w:tcPr>
            <w:tcW w:w="4234" w:type="pct"/>
            <w:vAlign w:val="center"/>
          </w:tcPr>
          <w:p w:rsidR="00192CCF" w:rsidRDefault="00DF4770">
            <w:pPr>
              <w:spacing w:line="44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未列入以上</w:t>
            </w:r>
            <w:r>
              <w:rPr>
                <w:rFonts w:ascii="Times New Roman" w:eastAsia="仿宋_GB2312" w:hAnsi="Times New Roman" w:cs="Times New Roman"/>
                <w:sz w:val="28"/>
                <w:szCs w:val="28"/>
              </w:rPr>
              <w:t>3</w:t>
            </w:r>
            <w:r>
              <w:rPr>
                <w:rFonts w:ascii="Times New Roman" w:eastAsia="仿宋_GB2312" w:hAnsi="Times New Roman" w:cs="Times New Roman"/>
                <w:sz w:val="28"/>
                <w:szCs w:val="28"/>
              </w:rPr>
              <w:t>级或按照《实验室安全风险评价表》评分＜</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分的实验室定为四级安全风险实验室。</w:t>
            </w:r>
          </w:p>
        </w:tc>
      </w:tr>
    </w:tbl>
    <w:p w:rsidR="00192CCF" w:rsidRDefault="00DF4770">
      <w:pPr>
        <w:rPr>
          <w:rFonts w:ascii="Times New Roman" w:eastAsia="方正小标宋_GBK" w:hAnsi="Times New Roman" w:cs="Times New Roman"/>
          <w:sz w:val="40"/>
          <w:szCs w:val="40"/>
        </w:rPr>
      </w:pPr>
      <w:r>
        <w:rPr>
          <w:rFonts w:ascii="Times New Roman" w:eastAsia="方正小标宋_GBK" w:hAnsi="Times New Roman" w:cs="Times New Roman"/>
          <w:sz w:val="40"/>
          <w:szCs w:val="40"/>
        </w:rPr>
        <w:br w:type="page"/>
      </w:r>
    </w:p>
    <w:p w:rsidR="00192CCF" w:rsidRDefault="00DF4770" w:rsidP="007D0076">
      <w:pPr>
        <w:spacing w:beforeLines="50" w:afterLines="50" w:line="578" w:lineRule="exact"/>
        <w:jc w:val="center"/>
        <w:rPr>
          <w:rFonts w:ascii="Times New Roman" w:eastAsia="方正小标宋_GBK" w:hAnsi="Times New Roman" w:cs="Times New Roman"/>
          <w:sz w:val="40"/>
          <w:szCs w:val="40"/>
        </w:rPr>
      </w:pPr>
      <w:r>
        <w:rPr>
          <w:rFonts w:ascii="Times New Roman" w:eastAsia="方正小标宋_GBK" w:hAnsi="Times New Roman" w:cs="Times New Roman"/>
          <w:sz w:val="40"/>
          <w:szCs w:val="40"/>
        </w:rPr>
        <w:lastRenderedPageBreak/>
        <w:t>附表：实验室安全风险评价表</w:t>
      </w:r>
    </w:p>
    <w:tbl>
      <w:tblPr>
        <w:tblW w:w="4996"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4"/>
        <w:gridCol w:w="1511"/>
        <w:gridCol w:w="926"/>
        <w:gridCol w:w="3348"/>
        <w:gridCol w:w="6232"/>
        <w:gridCol w:w="1292"/>
      </w:tblGrid>
      <w:tr w:rsidR="00192CCF">
        <w:trPr>
          <w:trHeight w:val="469"/>
        </w:trPr>
        <w:tc>
          <w:tcPr>
            <w:tcW w:w="3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92CCF" w:rsidRDefault="00DF4770">
            <w:pPr>
              <w:widowControl/>
              <w:spacing w:line="329" w:lineRule="atLeast"/>
              <w:ind w:left="82"/>
              <w:jc w:val="center"/>
              <w:rPr>
                <w:rFonts w:ascii="Times New Roman" w:hAnsi="Times New Roman" w:cs="Times New Roman"/>
                <w:kern w:val="0"/>
                <w:szCs w:val="21"/>
              </w:rPr>
            </w:pPr>
            <w:r>
              <w:rPr>
                <w:rFonts w:ascii="Times New Roman" w:hAnsi="Times New Roman" w:cs="Times New Roman"/>
                <w:b/>
                <w:bCs/>
                <w:color w:val="000000"/>
                <w:spacing w:val="-3"/>
                <w:kern w:val="0"/>
                <w:sz w:val="24"/>
              </w:rPr>
              <w:t>序号</w:t>
            </w:r>
          </w:p>
        </w:tc>
        <w:tc>
          <w:tcPr>
            <w:tcW w:w="53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hAnsi="Times New Roman" w:cs="Times New Roman"/>
                <w:kern w:val="0"/>
                <w:szCs w:val="21"/>
              </w:rPr>
            </w:pPr>
            <w:r>
              <w:rPr>
                <w:rFonts w:ascii="Times New Roman" w:hAnsi="Times New Roman" w:cs="Times New Roman"/>
                <w:b/>
                <w:bCs/>
                <w:color w:val="000000"/>
                <w:spacing w:val="-3"/>
                <w:kern w:val="0"/>
                <w:sz w:val="24"/>
              </w:rPr>
              <w:t>项目</w:t>
            </w:r>
          </w:p>
        </w:tc>
        <w:tc>
          <w:tcPr>
            <w:tcW w:w="32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hAnsi="Times New Roman" w:cs="Times New Roman"/>
                <w:kern w:val="0"/>
                <w:szCs w:val="21"/>
              </w:rPr>
            </w:pPr>
            <w:r>
              <w:rPr>
                <w:rFonts w:ascii="Times New Roman" w:hAnsi="Times New Roman" w:cs="Times New Roman"/>
                <w:b/>
                <w:bCs/>
                <w:color w:val="000000"/>
                <w:spacing w:val="-3"/>
                <w:kern w:val="0"/>
                <w:sz w:val="24"/>
              </w:rPr>
              <w:t>分值</w:t>
            </w:r>
          </w:p>
        </w:tc>
        <w:tc>
          <w:tcPr>
            <w:tcW w:w="11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hAnsi="Times New Roman" w:cs="Times New Roman"/>
                <w:kern w:val="0"/>
                <w:szCs w:val="21"/>
              </w:rPr>
            </w:pPr>
            <w:r>
              <w:rPr>
                <w:rFonts w:ascii="Times New Roman" w:hAnsi="Times New Roman" w:cs="Times New Roman"/>
                <w:b/>
                <w:bCs/>
                <w:color w:val="000000"/>
                <w:spacing w:val="-3"/>
                <w:kern w:val="0"/>
                <w:sz w:val="24"/>
              </w:rPr>
              <w:t>评价指标</w:t>
            </w:r>
          </w:p>
        </w:tc>
        <w:tc>
          <w:tcPr>
            <w:tcW w:w="21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hAnsi="Times New Roman" w:cs="Times New Roman"/>
                <w:kern w:val="0"/>
                <w:szCs w:val="21"/>
              </w:rPr>
            </w:pPr>
            <w:r>
              <w:rPr>
                <w:rFonts w:ascii="Times New Roman" w:hAnsi="Times New Roman" w:cs="Times New Roman"/>
                <w:b/>
                <w:bCs/>
                <w:color w:val="000000"/>
                <w:spacing w:val="-3"/>
                <w:kern w:val="0"/>
                <w:sz w:val="24"/>
              </w:rPr>
              <w:t>计分标准</w:t>
            </w:r>
          </w:p>
        </w:tc>
        <w:tc>
          <w:tcPr>
            <w:tcW w:w="4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hAnsi="Times New Roman" w:cs="Times New Roman"/>
                <w:kern w:val="0"/>
                <w:szCs w:val="21"/>
              </w:rPr>
            </w:pPr>
            <w:r>
              <w:rPr>
                <w:rFonts w:ascii="Times New Roman" w:hAnsi="Times New Roman" w:cs="Times New Roman"/>
                <w:b/>
                <w:bCs/>
                <w:color w:val="000000"/>
                <w:spacing w:val="-3"/>
                <w:kern w:val="0"/>
                <w:sz w:val="24"/>
              </w:rPr>
              <w:t>计分</w:t>
            </w:r>
          </w:p>
        </w:tc>
      </w:tr>
      <w:tr w:rsidR="00192CCF">
        <w:trPr>
          <w:trHeight w:val="97"/>
        </w:trPr>
        <w:tc>
          <w:tcPr>
            <w:tcW w:w="30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1</w:t>
            </w:r>
          </w:p>
        </w:tc>
        <w:tc>
          <w:tcPr>
            <w:tcW w:w="533"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教学科研研究方向</w:t>
            </w:r>
          </w:p>
        </w:tc>
        <w:tc>
          <w:tcPr>
            <w:tcW w:w="32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1"/>
                <w:kern w:val="0"/>
                <w:sz w:val="24"/>
              </w:rPr>
              <w:t>15</w:t>
            </w:r>
          </w:p>
        </w:tc>
        <w:tc>
          <w:tcPr>
            <w:tcW w:w="118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1"/>
                <w:kern w:val="0"/>
                <w:sz w:val="24"/>
              </w:rPr>
              <w:t>所从事的</w:t>
            </w:r>
            <w:bookmarkStart w:id="0" w:name="_GoBack"/>
            <w:bookmarkEnd w:id="0"/>
            <w:r>
              <w:rPr>
                <w:rFonts w:ascii="Times New Roman" w:eastAsia="仿宋_GB2312" w:hAnsi="Times New Roman" w:cs="Times New Roman"/>
                <w:color w:val="000000"/>
                <w:spacing w:val="1"/>
                <w:kern w:val="0"/>
                <w:sz w:val="24"/>
              </w:rPr>
              <w:t>实验是否涉及合成放热、压力实验、持续加热等危险程度较高的</w:t>
            </w:r>
            <w:r>
              <w:rPr>
                <w:rFonts w:ascii="Times New Roman" w:eastAsia="仿宋_GB2312" w:hAnsi="Times New Roman" w:cs="Times New Roman"/>
                <w:color w:val="000000"/>
                <w:spacing w:val="-3"/>
                <w:kern w:val="0"/>
                <w:sz w:val="24"/>
              </w:rPr>
              <w:t>因素。</w:t>
            </w: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4"/>
                <w:kern w:val="0"/>
                <w:sz w:val="24"/>
              </w:rPr>
              <w:t>涉及合成放热实验，</w:t>
            </w:r>
            <w:r>
              <w:rPr>
                <w:rFonts w:ascii="Times New Roman" w:eastAsia="仿宋_GB2312" w:hAnsi="Times New Roman" w:cs="Times New Roman"/>
                <w:color w:val="000000"/>
                <w:spacing w:val="-5"/>
                <w:kern w:val="0"/>
                <w:sz w:val="24"/>
              </w:rPr>
              <w:t>+5</w:t>
            </w:r>
            <w:r>
              <w:rPr>
                <w:rFonts w:ascii="Times New Roman" w:eastAsia="仿宋_GB2312" w:hAnsi="Times New Roman" w:cs="Times New Roman"/>
                <w:color w:val="000000"/>
                <w:kern w:val="0"/>
                <w:sz w:val="24"/>
              </w:rPr>
              <w:t>分</w:t>
            </w:r>
          </w:p>
        </w:tc>
        <w:tc>
          <w:tcPr>
            <w:tcW w:w="456"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hAnsi="Times New Roman" w:cs="Times New Roman"/>
                <w:kern w:val="0"/>
                <w:szCs w:val="21"/>
              </w:rPr>
            </w:pPr>
            <w:r>
              <w:rPr>
                <w:rFonts w:ascii="Times New Roman" w:hAnsi="Times New Roman" w:cs="Times New Roman"/>
                <w:color w:val="000000"/>
                <w:spacing w:val="-3"/>
                <w:kern w:val="0"/>
                <w:sz w:val="24"/>
              </w:rPr>
              <w:t> </w:t>
            </w:r>
          </w:p>
        </w:tc>
      </w:tr>
      <w:tr w:rsidR="00192CCF">
        <w:trPr>
          <w:trHeight w:val="90"/>
        </w:trPr>
        <w:tc>
          <w:tcPr>
            <w:tcW w:w="301" w:type="pct"/>
            <w:vMerge/>
            <w:tcBorders>
              <w:top w:val="nil"/>
              <w:left w:val="single" w:sz="8" w:space="0" w:color="auto"/>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533"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327"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1181"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4"/>
                <w:kern w:val="0"/>
                <w:sz w:val="24"/>
              </w:rPr>
              <w:t>涉及压力实验，</w:t>
            </w:r>
            <w:r>
              <w:rPr>
                <w:rFonts w:ascii="Times New Roman" w:eastAsia="仿宋_GB2312" w:hAnsi="Times New Roman" w:cs="Times New Roman"/>
                <w:color w:val="000000"/>
                <w:spacing w:val="-2"/>
                <w:kern w:val="0"/>
                <w:sz w:val="24"/>
              </w:rPr>
              <w:t>+5</w:t>
            </w:r>
            <w:r>
              <w:rPr>
                <w:rFonts w:ascii="Times New Roman" w:eastAsia="仿宋_GB2312" w:hAnsi="Times New Roman" w:cs="Times New Roman"/>
                <w:color w:val="000000"/>
                <w:kern w:val="0"/>
                <w:sz w:val="24"/>
              </w:rPr>
              <w:t>分</w:t>
            </w:r>
          </w:p>
        </w:tc>
        <w:tc>
          <w:tcPr>
            <w:tcW w:w="456"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hAnsi="Times New Roman" w:cs="Times New Roman"/>
                <w:kern w:val="0"/>
                <w:szCs w:val="21"/>
              </w:rPr>
            </w:pPr>
          </w:p>
        </w:tc>
      </w:tr>
      <w:tr w:rsidR="00192CCF">
        <w:trPr>
          <w:trHeight w:val="104"/>
        </w:trPr>
        <w:tc>
          <w:tcPr>
            <w:tcW w:w="301" w:type="pct"/>
            <w:vMerge/>
            <w:tcBorders>
              <w:top w:val="nil"/>
              <w:left w:val="single" w:sz="8" w:space="0" w:color="auto"/>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533"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327"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1181"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4"/>
                <w:kern w:val="0"/>
                <w:sz w:val="24"/>
              </w:rPr>
              <w:t>涉及持续加热实验，</w:t>
            </w:r>
            <w:r>
              <w:rPr>
                <w:rFonts w:ascii="Times New Roman" w:eastAsia="仿宋_GB2312" w:hAnsi="Times New Roman" w:cs="Times New Roman"/>
                <w:color w:val="000000"/>
                <w:spacing w:val="-2"/>
                <w:kern w:val="0"/>
                <w:sz w:val="24"/>
              </w:rPr>
              <w:t>+5</w:t>
            </w:r>
            <w:r>
              <w:rPr>
                <w:rFonts w:ascii="Times New Roman" w:eastAsia="仿宋_GB2312" w:hAnsi="Times New Roman" w:cs="Times New Roman"/>
                <w:color w:val="000000"/>
                <w:kern w:val="0"/>
                <w:sz w:val="24"/>
              </w:rPr>
              <w:t>分</w:t>
            </w:r>
          </w:p>
        </w:tc>
        <w:tc>
          <w:tcPr>
            <w:tcW w:w="456"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hAnsi="Times New Roman" w:cs="Times New Roman"/>
                <w:kern w:val="0"/>
                <w:szCs w:val="21"/>
              </w:rPr>
            </w:pPr>
          </w:p>
        </w:tc>
      </w:tr>
      <w:tr w:rsidR="00192CCF">
        <w:trPr>
          <w:trHeight w:val="380"/>
        </w:trPr>
        <w:tc>
          <w:tcPr>
            <w:tcW w:w="30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2</w:t>
            </w:r>
          </w:p>
        </w:tc>
        <w:tc>
          <w:tcPr>
            <w:tcW w:w="533"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危险</w:t>
            </w:r>
          </w:p>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化学品</w:t>
            </w:r>
          </w:p>
        </w:tc>
        <w:tc>
          <w:tcPr>
            <w:tcW w:w="32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1"/>
                <w:kern w:val="0"/>
                <w:sz w:val="24"/>
              </w:rPr>
              <w:t>20</w:t>
            </w:r>
          </w:p>
        </w:tc>
        <w:tc>
          <w:tcPr>
            <w:tcW w:w="118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1"/>
                <w:kern w:val="0"/>
                <w:sz w:val="24"/>
              </w:rPr>
              <w:t>实验室</w:t>
            </w:r>
            <w:r>
              <w:rPr>
                <w:rFonts w:ascii="Times New Roman" w:eastAsia="仿宋_GB2312" w:hAnsi="Times New Roman" w:cs="Times New Roman"/>
                <w:color w:val="000000"/>
                <w:spacing w:val="-2"/>
                <w:kern w:val="0"/>
                <w:sz w:val="24"/>
              </w:rPr>
              <w:t>易燃易爆化学品和危化品</w:t>
            </w:r>
            <w:r>
              <w:rPr>
                <w:rFonts w:ascii="Times New Roman" w:eastAsia="仿宋_GB2312" w:hAnsi="Times New Roman" w:cs="Times New Roman"/>
                <w:color w:val="000000"/>
                <w:spacing w:val="-3"/>
                <w:kern w:val="0"/>
                <w:sz w:val="24"/>
              </w:rPr>
              <w:t>存量</w:t>
            </w: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2"/>
                <w:kern w:val="0"/>
                <w:sz w:val="24"/>
              </w:rPr>
              <w:t>存在易燃易爆化学品</w:t>
            </w:r>
            <w:r>
              <w:rPr>
                <w:rFonts w:ascii="Times New Roman" w:eastAsia="仿宋_GB2312" w:hAnsi="Times New Roman" w:cs="Times New Roman"/>
                <w:color w:val="000000"/>
                <w:spacing w:val="-75"/>
                <w:kern w:val="0"/>
                <w:sz w:val="24"/>
              </w:rPr>
              <w:t> </w:t>
            </w:r>
            <w:r>
              <w:rPr>
                <w:rFonts w:ascii="Times New Roman" w:eastAsia="仿宋_GB2312" w:hAnsi="Times New Roman" w:cs="Times New Roman"/>
                <w:color w:val="000000"/>
                <w:spacing w:val="45"/>
                <w:kern w:val="0"/>
                <w:sz w:val="24"/>
              </w:rPr>
              <w:t>（＜</w:t>
            </w:r>
            <w:r>
              <w:rPr>
                <w:rFonts w:ascii="Times New Roman" w:eastAsia="仿宋_GB2312" w:hAnsi="Times New Roman" w:cs="Times New Roman"/>
                <w:color w:val="000000"/>
                <w:spacing w:val="45"/>
                <w:kern w:val="0"/>
                <w:sz w:val="24"/>
              </w:rPr>
              <w:t>20L</w:t>
            </w:r>
            <w:r>
              <w:rPr>
                <w:rFonts w:ascii="Times New Roman" w:eastAsia="仿宋_GB2312" w:hAnsi="Times New Roman" w:cs="Times New Roman"/>
                <w:color w:val="000000"/>
                <w:spacing w:val="9"/>
                <w:kern w:val="0"/>
                <w:sz w:val="24"/>
              </w:rPr>
              <w:t>（或</w:t>
            </w:r>
            <w:r>
              <w:rPr>
                <w:rFonts w:ascii="Times New Roman" w:eastAsia="仿宋_GB2312" w:hAnsi="Times New Roman" w:cs="Times New Roman"/>
                <w:color w:val="000000"/>
                <w:spacing w:val="-2"/>
                <w:kern w:val="0"/>
                <w:sz w:val="24"/>
              </w:rPr>
              <w:t>Kg</w:t>
            </w:r>
            <w:r>
              <w:rPr>
                <w:rFonts w:ascii="Times New Roman" w:eastAsia="仿宋_GB2312" w:hAnsi="Times New Roman" w:cs="Times New Roman"/>
                <w:color w:val="000000"/>
                <w:spacing w:val="-2"/>
                <w:kern w:val="0"/>
                <w:sz w:val="24"/>
              </w:rPr>
              <w:t>）</w:t>
            </w:r>
            <w:r>
              <w:rPr>
                <w:rFonts w:ascii="Times New Roman" w:eastAsia="仿宋_GB2312" w:hAnsi="Times New Roman" w:cs="Times New Roman"/>
                <w:color w:val="000000"/>
                <w:spacing w:val="45"/>
                <w:kern w:val="0"/>
                <w:sz w:val="24"/>
              </w:rPr>
              <w:t>)</w:t>
            </w:r>
            <w:r>
              <w:rPr>
                <w:rFonts w:ascii="Times New Roman" w:eastAsia="仿宋_GB2312" w:hAnsi="Times New Roman" w:cs="Times New Roman"/>
                <w:color w:val="000000"/>
                <w:spacing w:val="45"/>
                <w:kern w:val="0"/>
                <w:sz w:val="24"/>
              </w:rPr>
              <w:t>，</w:t>
            </w:r>
            <w:r>
              <w:rPr>
                <w:rFonts w:ascii="Times New Roman" w:eastAsia="仿宋_GB2312" w:hAnsi="Times New Roman" w:cs="Times New Roman"/>
                <w:color w:val="000000"/>
                <w:spacing w:val="-2"/>
                <w:kern w:val="0"/>
                <w:sz w:val="24"/>
              </w:rPr>
              <w:t>+10</w:t>
            </w:r>
            <w:r>
              <w:rPr>
                <w:rFonts w:ascii="Times New Roman" w:eastAsia="仿宋_GB2312" w:hAnsi="Times New Roman" w:cs="Times New Roman"/>
                <w:color w:val="000000"/>
                <w:spacing w:val="-3"/>
                <w:kern w:val="0"/>
                <w:sz w:val="24"/>
              </w:rPr>
              <w:t>分</w:t>
            </w:r>
          </w:p>
        </w:tc>
        <w:tc>
          <w:tcPr>
            <w:tcW w:w="456"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hAnsi="Times New Roman" w:cs="Times New Roman"/>
                <w:kern w:val="0"/>
                <w:szCs w:val="21"/>
              </w:rPr>
            </w:pPr>
            <w:r>
              <w:rPr>
                <w:rFonts w:ascii="Times New Roman" w:hAnsi="Times New Roman" w:cs="Times New Roman"/>
                <w:color w:val="000000"/>
                <w:spacing w:val="-3"/>
                <w:kern w:val="0"/>
                <w:sz w:val="24"/>
              </w:rPr>
              <w:t> </w:t>
            </w:r>
          </w:p>
        </w:tc>
      </w:tr>
      <w:tr w:rsidR="00192CCF">
        <w:trPr>
          <w:trHeight w:val="380"/>
        </w:trPr>
        <w:tc>
          <w:tcPr>
            <w:tcW w:w="301" w:type="pct"/>
            <w:vMerge/>
            <w:tcBorders>
              <w:top w:val="nil"/>
              <w:left w:val="single" w:sz="8" w:space="0" w:color="auto"/>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533"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327"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1181"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2"/>
                <w:kern w:val="0"/>
                <w:sz w:val="24"/>
              </w:rPr>
              <w:t>危化品</w:t>
            </w:r>
            <w:r>
              <w:rPr>
                <w:rFonts w:ascii="Times New Roman" w:eastAsia="仿宋_GB2312" w:hAnsi="Times New Roman" w:cs="Times New Roman"/>
                <w:color w:val="000000"/>
                <w:spacing w:val="9"/>
                <w:kern w:val="0"/>
                <w:sz w:val="24"/>
              </w:rPr>
              <w:t>存量</w:t>
            </w:r>
            <w:r>
              <w:rPr>
                <w:rFonts w:ascii="Times New Roman" w:eastAsia="仿宋_GB2312" w:hAnsi="Times New Roman" w:cs="Times New Roman"/>
                <w:color w:val="000000"/>
                <w:spacing w:val="-8"/>
                <w:kern w:val="0"/>
                <w:sz w:val="24"/>
              </w:rPr>
              <w:t>＜</w:t>
            </w:r>
            <w:r>
              <w:rPr>
                <w:rFonts w:ascii="Times New Roman" w:eastAsia="仿宋_GB2312" w:hAnsi="Times New Roman" w:cs="Times New Roman"/>
                <w:color w:val="000000"/>
                <w:spacing w:val="-2"/>
                <w:kern w:val="0"/>
                <w:sz w:val="24"/>
              </w:rPr>
              <w:t>10</w:t>
            </w:r>
            <w:r>
              <w:rPr>
                <w:rFonts w:ascii="Times New Roman" w:eastAsia="仿宋_GB2312" w:hAnsi="Times New Roman" w:cs="Times New Roman"/>
                <w:color w:val="000000"/>
                <w:spacing w:val="9"/>
                <w:kern w:val="0"/>
                <w:sz w:val="24"/>
              </w:rPr>
              <w:t>L</w:t>
            </w:r>
            <w:r>
              <w:rPr>
                <w:rFonts w:ascii="Times New Roman" w:eastAsia="仿宋_GB2312" w:hAnsi="Times New Roman" w:cs="Times New Roman"/>
                <w:color w:val="000000"/>
                <w:spacing w:val="9"/>
                <w:kern w:val="0"/>
                <w:sz w:val="24"/>
              </w:rPr>
              <w:t>（或</w:t>
            </w:r>
            <w:r>
              <w:rPr>
                <w:rFonts w:ascii="Times New Roman" w:eastAsia="仿宋_GB2312" w:hAnsi="Times New Roman" w:cs="Times New Roman"/>
                <w:color w:val="000000"/>
                <w:spacing w:val="-2"/>
                <w:kern w:val="0"/>
                <w:sz w:val="24"/>
              </w:rPr>
              <w:t>Kg</w:t>
            </w:r>
            <w:r>
              <w:rPr>
                <w:rFonts w:ascii="Times New Roman" w:eastAsia="仿宋_GB2312" w:hAnsi="Times New Roman" w:cs="Times New Roman"/>
                <w:color w:val="000000"/>
                <w:spacing w:val="-2"/>
                <w:kern w:val="0"/>
                <w:sz w:val="24"/>
              </w:rPr>
              <w:t>）</w:t>
            </w:r>
            <w:r>
              <w:rPr>
                <w:rFonts w:ascii="Times New Roman" w:eastAsia="仿宋_GB2312" w:hAnsi="Times New Roman" w:cs="Times New Roman"/>
                <w:color w:val="000000"/>
                <w:spacing w:val="-81"/>
                <w:kern w:val="0"/>
                <w:sz w:val="24"/>
              </w:rPr>
              <w:t>，</w:t>
            </w:r>
            <w:r>
              <w:rPr>
                <w:rFonts w:ascii="Times New Roman" w:eastAsia="仿宋_GB2312" w:hAnsi="Times New Roman" w:cs="Times New Roman"/>
                <w:color w:val="000000"/>
                <w:spacing w:val="-3"/>
                <w:kern w:val="0"/>
                <w:sz w:val="24"/>
              </w:rPr>
              <w:t> +5</w:t>
            </w:r>
            <w:r>
              <w:rPr>
                <w:rFonts w:ascii="Times New Roman" w:eastAsia="仿宋_GB2312" w:hAnsi="Times New Roman" w:cs="Times New Roman"/>
                <w:color w:val="000000"/>
                <w:spacing w:val="-3"/>
                <w:kern w:val="0"/>
                <w:sz w:val="24"/>
              </w:rPr>
              <w:t>分</w:t>
            </w:r>
          </w:p>
        </w:tc>
        <w:tc>
          <w:tcPr>
            <w:tcW w:w="456"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hAnsi="Times New Roman" w:cs="Times New Roman"/>
                <w:kern w:val="0"/>
                <w:szCs w:val="21"/>
              </w:rPr>
            </w:pPr>
          </w:p>
        </w:tc>
      </w:tr>
      <w:tr w:rsidR="00192CCF">
        <w:trPr>
          <w:trHeight w:val="380"/>
        </w:trPr>
        <w:tc>
          <w:tcPr>
            <w:tcW w:w="301" w:type="pct"/>
            <w:vMerge/>
            <w:tcBorders>
              <w:top w:val="nil"/>
              <w:left w:val="single" w:sz="8" w:space="0" w:color="auto"/>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533"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327"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1181"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1"/>
                <w:kern w:val="0"/>
                <w:sz w:val="24"/>
              </w:rPr>
              <w:t>10</w:t>
            </w:r>
            <w:r>
              <w:rPr>
                <w:rFonts w:ascii="Times New Roman" w:eastAsia="仿宋_GB2312" w:hAnsi="Times New Roman" w:cs="Times New Roman"/>
                <w:color w:val="000000"/>
                <w:spacing w:val="-27"/>
                <w:kern w:val="0"/>
                <w:sz w:val="24"/>
              </w:rPr>
              <w:t>L</w:t>
            </w:r>
            <w:r>
              <w:rPr>
                <w:rFonts w:ascii="Times New Roman" w:eastAsia="仿宋_GB2312" w:hAnsi="Times New Roman" w:cs="Times New Roman"/>
                <w:color w:val="000000"/>
                <w:spacing w:val="-3"/>
                <w:kern w:val="0"/>
                <w:sz w:val="24"/>
              </w:rPr>
              <w:t>（或</w:t>
            </w:r>
            <w:r>
              <w:rPr>
                <w:rFonts w:ascii="Times New Roman" w:eastAsia="仿宋_GB2312" w:hAnsi="Times New Roman" w:cs="Times New Roman"/>
                <w:color w:val="000000"/>
                <w:spacing w:val="2"/>
                <w:kern w:val="0"/>
                <w:sz w:val="24"/>
              </w:rPr>
              <w:t> </w:t>
            </w:r>
            <w:r>
              <w:rPr>
                <w:rFonts w:ascii="Times New Roman" w:eastAsia="仿宋_GB2312" w:hAnsi="Times New Roman" w:cs="Times New Roman"/>
                <w:color w:val="000000"/>
                <w:spacing w:val="-4"/>
                <w:kern w:val="0"/>
                <w:sz w:val="24"/>
              </w:rPr>
              <w:t>Kg</w:t>
            </w:r>
            <w:r>
              <w:rPr>
                <w:rFonts w:ascii="Times New Roman" w:eastAsia="仿宋_GB2312" w:hAnsi="Times New Roman" w:cs="Times New Roman"/>
                <w:color w:val="000000"/>
                <w:spacing w:val="-8"/>
                <w:kern w:val="0"/>
                <w:sz w:val="24"/>
              </w:rPr>
              <w:t>）</w:t>
            </w:r>
            <w:r>
              <w:rPr>
                <w:rFonts w:ascii="Times New Roman" w:eastAsia="仿宋_GB2312" w:hAnsi="Times New Roman" w:cs="Times New Roman"/>
                <w:color w:val="000000"/>
                <w:spacing w:val="-2"/>
                <w:kern w:val="0"/>
                <w:sz w:val="24"/>
              </w:rPr>
              <w:t>≤</w:t>
            </w:r>
            <w:r>
              <w:rPr>
                <w:rFonts w:ascii="Times New Roman" w:eastAsia="仿宋_GB2312" w:hAnsi="Times New Roman" w:cs="Times New Roman"/>
                <w:color w:val="000000"/>
                <w:spacing w:val="-2"/>
                <w:kern w:val="0"/>
                <w:sz w:val="24"/>
              </w:rPr>
              <w:t>危化品</w:t>
            </w:r>
            <w:r>
              <w:rPr>
                <w:rFonts w:ascii="Times New Roman" w:eastAsia="仿宋_GB2312" w:hAnsi="Times New Roman" w:cs="Times New Roman"/>
                <w:color w:val="000000"/>
                <w:spacing w:val="-8"/>
                <w:kern w:val="0"/>
                <w:sz w:val="24"/>
              </w:rPr>
              <w:t>存量＜</w:t>
            </w:r>
            <w:r>
              <w:rPr>
                <w:rFonts w:ascii="Times New Roman" w:eastAsia="仿宋_GB2312" w:hAnsi="Times New Roman" w:cs="Times New Roman"/>
                <w:color w:val="000000"/>
                <w:spacing w:val="-3"/>
                <w:kern w:val="0"/>
                <w:sz w:val="24"/>
              </w:rPr>
              <w:t>40L</w:t>
            </w:r>
            <w:r>
              <w:rPr>
                <w:rFonts w:ascii="Times New Roman" w:eastAsia="仿宋_GB2312" w:hAnsi="Times New Roman" w:cs="Times New Roman"/>
                <w:color w:val="000000"/>
                <w:spacing w:val="-3"/>
                <w:kern w:val="0"/>
                <w:sz w:val="24"/>
              </w:rPr>
              <w:t>（或</w:t>
            </w:r>
            <w:r>
              <w:rPr>
                <w:rFonts w:ascii="Times New Roman" w:eastAsia="仿宋_GB2312" w:hAnsi="Times New Roman" w:cs="Times New Roman"/>
                <w:color w:val="000000"/>
                <w:spacing w:val="2"/>
                <w:kern w:val="0"/>
                <w:sz w:val="24"/>
              </w:rPr>
              <w:t> </w:t>
            </w:r>
            <w:r>
              <w:rPr>
                <w:rFonts w:ascii="Times New Roman" w:eastAsia="仿宋_GB2312" w:hAnsi="Times New Roman" w:cs="Times New Roman"/>
                <w:color w:val="000000"/>
                <w:spacing w:val="-5"/>
                <w:kern w:val="0"/>
                <w:sz w:val="24"/>
              </w:rPr>
              <w:t>Kg</w:t>
            </w:r>
            <w:r>
              <w:rPr>
                <w:rFonts w:ascii="Times New Roman" w:eastAsia="仿宋_GB2312" w:hAnsi="Times New Roman" w:cs="Times New Roman"/>
                <w:color w:val="000000"/>
                <w:spacing w:val="-81"/>
                <w:kern w:val="0"/>
                <w:sz w:val="24"/>
              </w:rPr>
              <w:t>），</w:t>
            </w:r>
            <w:r>
              <w:rPr>
                <w:rFonts w:ascii="Times New Roman" w:eastAsia="仿宋_GB2312" w:hAnsi="Times New Roman" w:cs="Times New Roman"/>
                <w:color w:val="000000"/>
                <w:spacing w:val="-4"/>
                <w:kern w:val="0"/>
                <w:sz w:val="24"/>
              </w:rPr>
              <w:t> </w:t>
            </w:r>
            <w:r>
              <w:rPr>
                <w:rFonts w:ascii="Times New Roman" w:eastAsia="仿宋_GB2312" w:hAnsi="Times New Roman" w:cs="Times New Roman"/>
                <w:color w:val="000000"/>
                <w:spacing w:val="-2"/>
                <w:kern w:val="0"/>
                <w:sz w:val="24"/>
              </w:rPr>
              <w:t>+10</w:t>
            </w:r>
            <w:r>
              <w:rPr>
                <w:rFonts w:ascii="Times New Roman" w:eastAsia="仿宋_GB2312" w:hAnsi="Times New Roman" w:cs="Times New Roman"/>
                <w:color w:val="000000"/>
                <w:spacing w:val="-3"/>
                <w:kern w:val="0"/>
                <w:sz w:val="24"/>
              </w:rPr>
              <w:t>分</w:t>
            </w:r>
          </w:p>
        </w:tc>
        <w:tc>
          <w:tcPr>
            <w:tcW w:w="456"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hAnsi="Times New Roman" w:cs="Times New Roman"/>
                <w:kern w:val="0"/>
                <w:szCs w:val="21"/>
              </w:rPr>
            </w:pPr>
          </w:p>
        </w:tc>
      </w:tr>
      <w:tr w:rsidR="00192CCF">
        <w:trPr>
          <w:trHeight w:val="493"/>
        </w:trPr>
        <w:tc>
          <w:tcPr>
            <w:tcW w:w="30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3</w:t>
            </w:r>
          </w:p>
        </w:tc>
        <w:tc>
          <w:tcPr>
            <w:tcW w:w="533"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病原</w:t>
            </w:r>
          </w:p>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微生物</w:t>
            </w:r>
          </w:p>
        </w:tc>
        <w:tc>
          <w:tcPr>
            <w:tcW w:w="32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1"/>
                <w:kern w:val="0"/>
                <w:sz w:val="24"/>
              </w:rPr>
              <w:t>10</w:t>
            </w:r>
          </w:p>
        </w:tc>
        <w:tc>
          <w:tcPr>
            <w:tcW w:w="118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1"/>
                <w:kern w:val="0"/>
                <w:sz w:val="24"/>
              </w:rPr>
              <w:t>实验室是否存有和使用病原微生物；病原微生物危险等</w:t>
            </w:r>
            <w:r>
              <w:rPr>
                <w:rFonts w:ascii="Times New Roman" w:eastAsia="仿宋_GB2312" w:hAnsi="Times New Roman" w:cs="Times New Roman"/>
                <w:color w:val="000000"/>
                <w:kern w:val="0"/>
                <w:sz w:val="24"/>
              </w:rPr>
              <w:t>级</w:t>
            </w: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12"/>
                <w:kern w:val="0"/>
                <w:sz w:val="24"/>
              </w:rPr>
              <w:t>无活性病原微生物或基因</w:t>
            </w:r>
            <w:r>
              <w:rPr>
                <w:rFonts w:ascii="Times New Roman" w:eastAsia="仿宋_GB2312" w:hAnsi="Times New Roman" w:cs="Times New Roman"/>
                <w:color w:val="000000"/>
                <w:spacing w:val="-4"/>
                <w:kern w:val="0"/>
                <w:sz w:val="24"/>
              </w:rPr>
              <w:t>片段，不计分</w:t>
            </w:r>
          </w:p>
        </w:tc>
        <w:tc>
          <w:tcPr>
            <w:tcW w:w="456"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hAnsi="Times New Roman" w:cs="Times New Roman"/>
                <w:kern w:val="0"/>
                <w:szCs w:val="21"/>
              </w:rPr>
            </w:pPr>
            <w:r>
              <w:rPr>
                <w:rFonts w:ascii="Times New Roman" w:hAnsi="Times New Roman" w:cs="Times New Roman"/>
                <w:color w:val="000000"/>
                <w:spacing w:val="-3"/>
                <w:kern w:val="0"/>
                <w:sz w:val="24"/>
              </w:rPr>
              <w:t> </w:t>
            </w:r>
          </w:p>
        </w:tc>
      </w:tr>
      <w:tr w:rsidR="00192CCF">
        <w:trPr>
          <w:trHeight w:val="90"/>
        </w:trPr>
        <w:tc>
          <w:tcPr>
            <w:tcW w:w="301" w:type="pct"/>
            <w:vMerge/>
            <w:tcBorders>
              <w:top w:val="nil"/>
              <w:left w:val="single" w:sz="8" w:space="0" w:color="auto"/>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533"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327"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1181"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15"/>
                <w:kern w:val="0"/>
                <w:sz w:val="24"/>
              </w:rPr>
              <w:t>存在活性的病原微生物，对</w:t>
            </w:r>
            <w:r>
              <w:rPr>
                <w:rFonts w:ascii="Times New Roman" w:eastAsia="仿宋_GB2312" w:hAnsi="Times New Roman" w:cs="Times New Roman"/>
                <w:color w:val="000000"/>
                <w:spacing w:val="1"/>
                <w:kern w:val="0"/>
                <w:sz w:val="24"/>
              </w:rPr>
              <w:t>人或其它动物感染性较弱，</w:t>
            </w:r>
            <w:r>
              <w:rPr>
                <w:rFonts w:ascii="Times New Roman" w:eastAsia="仿宋_GB2312" w:hAnsi="Times New Roman" w:cs="Times New Roman"/>
                <w:color w:val="000000"/>
                <w:spacing w:val="-4"/>
                <w:kern w:val="0"/>
                <w:sz w:val="24"/>
              </w:rPr>
              <w:t>或感染后易治愈，</w:t>
            </w:r>
            <w:r>
              <w:rPr>
                <w:rFonts w:ascii="Times New Roman" w:eastAsia="仿宋_GB2312" w:hAnsi="Times New Roman" w:cs="Times New Roman"/>
                <w:color w:val="000000"/>
                <w:spacing w:val="-3"/>
                <w:kern w:val="0"/>
                <w:sz w:val="24"/>
              </w:rPr>
              <w:t>+10</w:t>
            </w:r>
            <w:r>
              <w:rPr>
                <w:rFonts w:ascii="Times New Roman" w:eastAsia="仿宋_GB2312" w:hAnsi="Times New Roman" w:cs="Times New Roman"/>
                <w:color w:val="000000"/>
                <w:spacing w:val="-3"/>
                <w:kern w:val="0"/>
                <w:sz w:val="24"/>
              </w:rPr>
              <w:t>分</w:t>
            </w:r>
          </w:p>
        </w:tc>
        <w:tc>
          <w:tcPr>
            <w:tcW w:w="456"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hAnsi="Times New Roman" w:cs="Times New Roman"/>
                <w:kern w:val="0"/>
                <w:szCs w:val="21"/>
              </w:rPr>
            </w:pPr>
          </w:p>
        </w:tc>
      </w:tr>
      <w:tr w:rsidR="00192CCF">
        <w:trPr>
          <w:trHeight w:val="320"/>
        </w:trPr>
        <w:tc>
          <w:tcPr>
            <w:tcW w:w="30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4</w:t>
            </w:r>
          </w:p>
        </w:tc>
        <w:tc>
          <w:tcPr>
            <w:tcW w:w="533"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危险</w:t>
            </w:r>
          </w:p>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废物</w:t>
            </w:r>
          </w:p>
        </w:tc>
        <w:tc>
          <w:tcPr>
            <w:tcW w:w="32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1"/>
                <w:kern w:val="0"/>
                <w:sz w:val="24"/>
              </w:rPr>
              <w:t>10</w:t>
            </w:r>
          </w:p>
        </w:tc>
        <w:tc>
          <w:tcPr>
            <w:tcW w:w="118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1"/>
                <w:kern w:val="0"/>
                <w:sz w:val="24"/>
              </w:rPr>
              <w:t>实验室每月危险废</w:t>
            </w:r>
            <w:r>
              <w:rPr>
                <w:rFonts w:ascii="Times New Roman" w:eastAsia="仿宋_GB2312" w:hAnsi="Times New Roman" w:cs="Times New Roman"/>
                <w:color w:val="000000"/>
                <w:spacing w:val="-4"/>
                <w:kern w:val="0"/>
                <w:sz w:val="24"/>
              </w:rPr>
              <w:t>弃物的产生量</w:t>
            </w: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产生量＜</w:t>
            </w:r>
            <w:r>
              <w:rPr>
                <w:rFonts w:ascii="Times New Roman" w:eastAsia="仿宋_GB2312" w:hAnsi="Times New Roman" w:cs="Times New Roman"/>
                <w:color w:val="000000"/>
                <w:spacing w:val="-3"/>
                <w:kern w:val="0"/>
                <w:sz w:val="24"/>
              </w:rPr>
              <w:t>25L</w:t>
            </w:r>
            <w:r>
              <w:rPr>
                <w:rFonts w:ascii="Times New Roman" w:eastAsia="仿宋_GB2312" w:hAnsi="Times New Roman" w:cs="Times New Roman"/>
                <w:color w:val="000000"/>
                <w:spacing w:val="9"/>
                <w:kern w:val="0"/>
                <w:sz w:val="24"/>
              </w:rPr>
              <w:t>（或</w:t>
            </w:r>
            <w:r>
              <w:rPr>
                <w:rFonts w:ascii="Times New Roman" w:eastAsia="仿宋_GB2312" w:hAnsi="Times New Roman" w:cs="Times New Roman"/>
                <w:color w:val="000000"/>
                <w:spacing w:val="-2"/>
                <w:kern w:val="0"/>
                <w:sz w:val="24"/>
              </w:rPr>
              <w:t>Kg</w:t>
            </w:r>
            <w:r>
              <w:rPr>
                <w:rFonts w:ascii="Times New Roman" w:eastAsia="仿宋_GB2312" w:hAnsi="Times New Roman" w:cs="Times New Roman"/>
                <w:color w:val="000000"/>
                <w:spacing w:val="-2"/>
                <w:kern w:val="0"/>
                <w:sz w:val="24"/>
              </w:rPr>
              <w:t>）</w:t>
            </w:r>
            <w:r>
              <w:rPr>
                <w:rFonts w:ascii="Times New Roman" w:eastAsia="仿宋_GB2312" w:hAnsi="Times New Roman" w:cs="Times New Roman"/>
                <w:color w:val="000000"/>
                <w:spacing w:val="-4"/>
                <w:kern w:val="0"/>
                <w:sz w:val="24"/>
              </w:rPr>
              <w:t>，</w:t>
            </w:r>
            <w:r>
              <w:rPr>
                <w:rFonts w:ascii="Times New Roman" w:eastAsia="仿宋_GB2312" w:hAnsi="Times New Roman" w:cs="Times New Roman"/>
                <w:color w:val="000000"/>
                <w:spacing w:val="-3"/>
                <w:kern w:val="0"/>
                <w:sz w:val="24"/>
              </w:rPr>
              <w:t>+3</w:t>
            </w:r>
            <w:r>
              <w:rPr>
                <w:rFonts w:ascii="Times New Roman" w:eastAsia="仿宋_GB2312" w:hAnsi="Times New Roman" w:cs="Times New Roman"/>
                <w:color w:val="000000"/>
                <w:spacing w:val="-3"/>
                <w:kern w:val="0"/>
                <w:sz w:val="24"/>
              </w:rPr>
              <w:t>分</w:t>
            </w:r>
          </w:p>
        </w:tc>
        <w:tc>
          <w:tcPr>
            <w:tcW w:w="456"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hAnsi="Times New Roman" w:cs="Times New Roman"/>
                <w:kern w:val="0"/>
                <w:szCs w:val="21"/>
              </w:rPr>
            </w:pPr>
            <w:r>
              <w:rPr>
                <w:rFonts w:ascii="Times New Roman" w:hAnsi="Times New Roman" w:cs="Times New Roman"/>
                <w:color w:val="000000"/>
                <w:spacing w:val="-3"/>
                <w:kern w:val="0"/>
                <w:sz w:val="24"/>
              </w:rPr>
              <w:t> </w:t>
            </w:r>
          </w:p>
        </w:tc>
      </w:tr>
      <w:tr w:rsidR="00192CCF">
        <w:trPr>
          <w:trHeight w:val="318"/>
        </w:trPr>
        <w:tc>
          <w:tcPr>
            <w:tcW w:w="301" w:type="pct"/>
            <w:vMerge/>
            <w:tcBorders>
              <w:top w:val="nil"/>
              <w:left w:val="single" w:sz="8" w:space="0" w:color="auto"/>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533"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327"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1181"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2"/>
                <w:kern w:val="0"/>
                <w:sz w:val="24"/>
              </w:rPr>
              <w:t>25L</w:t>
            </w:r>
            <w:r>
              <w:rPr>
                <w:rFonts w:ascii="Times New Roman" w:eastAsia="仿宋_GB2312" w:hAnsi="Times New Roman" w:cs="Times New Roman"/>
                <w:color w:val="000000"/>
                <w:spacing w:val="9"/>
                <w:kern w:val="0"/>
                <w:sz w:val="24"/>
              </w:rPr>
              <w:t>（或</w:t>
            </w:r>
            <w:r>
              <w:rPr>
                <w:rFonts w:ascii="Times New Roman" w:eastAsia="仿宋_GB2312" w:hAnsi="Times New Roman" w:cs="Times New Roman"/>
                <w:color w:val="000000"/>
                <w:spacing w:val="-2"/>
                <w:kern w:val="0"/>
                <w:sz w:val="24"/>
              </w:rPr>
              <w:t>Kg</w:t>
            </w:r>
            <w:r>
              <w:rPr>
                <w:rFonts w:ascii="Times New Roman" w:eastAsia="仿宋_GB2312" w:hAnsi="Times New Roman" w:cs="Times New Roman"/>
                <w:color w:val="000000"/>
                <w:spacing w:val="-2"/>
                <w:kern w:val="0"/>
                <w:sz w:val="24"/>
              </w:rPr>
              <w:t>）</w:t>
            </w:r>
            <w:r>
              <w:rPr>
                <w:rFonts w:ascii="Times New Roman" w:eastAsia="仿宋_GB2312" w:hAnsi="Times New Roman" w:cs="Times New Roman"/>
                <w:color w:val="000000"/>
                <w:spacing w:val="-3"/>
                <w:kern w:val="0"/>
                <w:sz w:val="24"/>
              </w:rPr>
              <w:t>≤</w:t>
            </w:r>
            <w:r>
              <w:rPr>
                <w:rFonts w:ascii="Times New Roman" w:eastAsia="仿宋_GB2312" w:hAnsi="Times New Roman" w:cs="Times New Roman"/>
                <w:color w:val="000000"/>
                <w:spacing w:val="-3"/>
                <w:kern w:val="0"/>
                <w:sz w:val="24"/>
              </w:rPr>
              <w:t>产生量＜</w:t>
            </w:r>
            <w:r>
              <w:rPr>
                <w:rFonts w:ascii="Times New Roman" w:eastAsia="仿宋_GB2312" w:hAnsi="Times New Roman" w:cs="Times New Roman"/>
                <w:color w:val="000000"/>
                <w:spacing w:val="-4"/>
                <w:kern w:val="0"/>
                <w:sz w:val="24"/>
              </w:rPr>
              <w:t>75</w:t>
            </w:r>
            <w:r>
              <w:rPr>
                <w:rFonts w:ascii="Times New Roman" w:eastAsia="仿宋_GB2312" w:hAnsi="Times New Roman" w:cs="Times New Roman"/>
                <w:color w:val="000000"/>
                <w:spacing w:val="-3"/>
                <w:kern w:val="0"/>
                <w:sz w:val="24"/>
              </w:rPr>
              <w:t>L</w:t>
            </w:r>
            <w:r>
              <w:rPr>
                <w:rFonts w:ascii="Times New Roman" w:eastAsia="仿宋_GB2312" w:hAnsi="Times New Roman" w:cs="Times New Roman"/>
                <w:color w:val="000000"/>
                <w:spacing w:val="9"/>
                <w:kern w:val="0"/>
                <w:sz w:val="24"/>
              </w:rPr>
              <w:t>（或</w:t>
            </w:r>
            <w:r>
              <w:rPr>
                <w:rFonts w:ascii="Times New Roman" w:eastAsia="仿宋_GB2312" w:hAnsi="Times New Roman" w:cs="Times New Roman"/>
                <w:color w:val="000000"/>
                <w:spacing w:val="-2"/>
                <w:kern w:val="0"/>
                <w:sz w:val="24"/>
              </w:rPr>
              <w:t>Kg</w:t>
            </w:r>
            <w:r>
              <w:rPr>
                <w:rFonts w:ascii="Times New Roman" w:eastAsia="仿宋_GB2312" w:hAnsi="Times New Roman" w:cs="Times New Roman"/>
                <w:color w:val="000000"/>
                <w:spacing w:val="-2"/>
                <w:kern w:val="0"/>
                <w:sz w:val="24"/>
              </w:rPr>
              <w:t>）</w:t>
            </w:r>
            <w:r>
              <w:rPr>
                <w:rFonts w:ascii="Times New Roman" w:eastAsia="仿宋_GB2312" w:hAnsi="Times New Roman" w:cs="Times New Roman"/>
                <w:color w:val="000000"/>
                <w:spacing w:val="-10"/>
                <w:kern w:val="0"/>
                <w:sz w:val="24"/>
              </w:rPr>
              <w:t>，</w:t>
            </w:r>
            <w:r>
              <w:rPr>
                <w:rFonts w:ascii="Times New Roman" w:eastAsia="仿宋_GB2312" w:hAnsi="Times New Roman" w:cs="Times New Roman"/>
                <w:color w:val="000000"/>
                <w:spacing w:val="-3"/>
                <w:kern w:val="0"/>
                <w:sz w:val="24"/>
              </w:rPr>
              <w:t>+6</w:t>
            </w:r>
            <w:r>
              <w:rPr>
                <w:rFonts w:ascii="Times New Roman" w:eastAsia="仿宋_GB2312" w:hAnsi="Times New Roman" w:cs="Times New Roman"/>
                <w:color w:val="000000"/>
                <w:spacing w:val="-3"/>
                <w:kern w:val="0"/>
                <w:sz w:val="24"/>
              </w:rPr>
              <w:t>分</w:t>
            </w:r>
          </w:p>
        </w:tc>
        <w:tc>
          <w:tcPr>
            <w:tcW w:w="456"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hAnsi="Times New Roman" w:cs="Times New Roman"/>
                <w:kern w:val="0"/>
                <w:szCs w:val="21"/>
              </w:rPr>
            </w:pPr>
          </w:p>
        </w:tc>
      </w:tr>
      <w:tr w:rsidR="00192CCF">
        <w:trPr>
          <w:trHeight w:val="318"/>
        </w:trPr>
        <w:tc>
          <w:tcPr>
            <w:tcW w:w="301" w:type="pct"/>
            <w:vMerge/>
            <w:tcBorders>
              <w:top w:val="nil"/>
              <w:left w:val="single" w:sz="8" w:space="0" w:color="auto"/>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533"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327"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1181"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4"/>
                <w:kern w:val="0"/>
                <w:sz w:val="24"/>
              </w:rPr>
              <w:t>产生量</w:t>
            </w:r>
            <w:r>
              <w:rPr>
                <w:rFonts w:ascii="Times New Roman" w:eastAsia="仿宋_GB2312" w:hAnsi="Times New Roman" w:cs="Times New Roman"/>
                <w:spacing w:val="-4"/>
                <w:kern w:val="0"/>
                <w:sz w:val="24"/>
              </w:rPr>
              <w:t>≥</w:t>
            </w:r>
            <w:r>
              <w:rPr>
                <w:rFonts w:ascii="Times New Roman" w:eastAsia="仿宋_GB2312" w:hAnsi="Times New Roman" w:cs="Times New Roman"/>
                <w:color w:val="000000"/>
                <w:spacing w:val="-3"/>
                <w:kern w:val="0"/>
                <w:sz w:val="24"/>
              </w:rPr>
              <w:t>75L</w:t>
            </w:r>
            <w:r>
              <w:rPr>
                <w:rFonts w:ascii="Times New Roman" w:eastAsia="仿宋_GB2312" w:hAnsi="Times New Roman" w:cs="Times New Roman"/>
                <w:color w:val="000000"/>
                <w:spacing w:val="9"/>
                <w:kern w:val="0"/>
                <w:sz w:val="24"/>
              </w:rPr>
              <w:t>（或</w:t>
            </w:r>
            <w:r>
              <w:rPr>
                <w:rFonts w:ascii="Times New Roman" w:eastAsia="仿宋_GB2312" w:hAnsi="Times New Roman" w:cs="Times New Roman"/>
                <w:color w:val="000000"/>
                <w:spacing w:val="-2"/>
                <w:kern w:val="0"/>
                <w:sz w:val="24"/>
              </w:rPr>
              <w:t>Kg</w:t>
            </w:r>
            <w:r>
              <w:rPr>
                <w:rFonts w:ascii="Times New Roman" w:eastAsia="仿宋_GB2312" w:hAnsi="Times New Roman" w:cs="Times New Roman"/>
                <w:color w:val="000000"/>
                <w:spacing w:val="-2"/>
                <w:kern w:val="0"/>
                <w:sz w:val="24"/>
              </w:rPr>
              <w:t>）</w:t>
            </w:r>
            <w:r>
              <w:rPr>
                <w:rFonts w:ascii="Times New Roman" w:eastAsia="仿宋_GB2312" w:hAnsi="Times New Roman" w:cs="Times New Roman"/>
                <w:color w:val="000000"/>
                <w:spacing w:val="-3"/>
                <w:kern w:val="0"/>
                <w:sz w:val="24"/>
              </w:rPr>
              <w:t>，</w:t>
            </w:r>
            <w:r>
              <w:rPr>
                <w:rFonts w:ascii="Times New Roman" w:eastAsia="仿宋_GB2312" w:hAnsi="Times New Roman" w:cs="Times New Roman"/>
                <w:color w:val="000000"/>
                <w:spacing w:val="-2"/>
                <w:kern w:val="0"/>
                <w:sz w:val="24"/>
              </w:rPr>
              <w:t>+10 </w:t>
            </w:r>
            <w:r>
              <w:rPr>
                <w:rFonts w:ascii="Times New Roman" w:eastAsia="仿宋_GB2312" w:hAnsi="Times New Roman" w:cs="Times New Roman"/>
                <w:color w:val="000000"/>
                <w:kern w:val="0"/>
                <w:sz w:val="24"/>
              </w:rPr>
              <w:t>分</w:t>
            </w:r>
          </w:p>
        </w:tc>
        <w:tc>
          <w:tcPr>
            <w:tcW w:w="456"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hAnsi="Times New Roman" w:cs="Times New Roman"/>
                <w:kern w:val="0"/>
                <w:szCs w:val="21"/>
              </w:rPr>
            </w:pPr>
          </w:p>
        </w:tc>
      </w:tr>
      <w:tr w:rsidR="00192CCF">
        <w:trPr>
          <w:trHeight w:val="301"/>
        </w:trPr>
        <w:tc>
          <w:tcPr>
            <w:tcW w:w="30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5</w:t>
            </w:r>
          </w:p>
        </w:tc>
        <w:tc>
          <w:tcPr>
            <w:tcW w:w="533"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rsidP="007D0076">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 </w:t>
            </w:r>
            <w:r>
              <w:rPr>
                <w:rFonts w:ascii="Times New Roman" w:eastAsia="仿宋_GB2312" w:hAnsi="Times New Roman" w:cs="Times New Roman"/>
                <w:color w:val="000000"/>
                <w:spacing w:val="-3"/>
                <w:kern w:val="0"/>
                <w:sz w:val="24"/>
              </w:rPr>
              <w:t>气体钢瓶</w:t>
            </w:r>
          </w:p>
        </w:tc>
        <w:tc>
          <w:tcPr>
            <w:tcW w:w="32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4"/>
                <w:kern w:val="0"/>
                <w:sz w:val="24"/>
              </w:rPr>
              <w:t>15</w:t>
            </w:r>
          </w:p>
        </w:tc>
        <w:tc>
          <w:tcPr>
            <w:tcW w:w="118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4"/>
                <w:kern w:val="0"/>
                <w:sz w:val="24"/>
              </w:rPr>
              <w:t>气体钢瓶数量</w:t>
            </w: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1"/>
                <w:kern w:val="0"/>
                <w:sz w:val="24"/>
              </w:rPr>
              <w:t>1</w:t>
            </w:r>
            <w:r>
              <w:rPr>
                <w:rFonts w:ascii="Times New Roman" w:eastAsia="仿宋_GB2312" w:hAnsi="Times New Roman" w:cs="Times New Roman"/>
                <w:color w:val="000000"/>
                <w:spacing w:val="-3"/>
                <w:kern w:val="0"/>
                <w:sz w:val="24"/>
              </w:rPr>
              <w:t>-2</w:t>
            </w:r>
            <w:r>
              <w:rPr>
                <w:rFonts w:ascii="Times New Roman" w:eastAsia="仿宋_GB2312" w:hAnsi="Times New Roman" w:cs="Times New Roman"/>
                <w:color w:val="000000"/>
                <w:spacing w:val="-2"/>
                <w:kern w:val="0"/>
                <w:sz w:val="24"/>
              </w:rPr>
              <w:t>个，</w:t>
            </w:r>
            <w:r>
              <w:rPr>
                <w:rFonts w:ascii="Times New Roman" w:eastAsia="仿宋_GB2312" w:hAnsi="Times New Roman" w:cs="Times New Roman"/>
                <w:color w:val="000000"/>
                <w:spacing w:val="-3"/>
                <w:kern w:val="0"/>
                <w:sz w:val="24"/>
              </w:rPr>
              <w:t>+5</w:t>
            </w:r>
            <w:r>
              <w:rPr>
                <w:rFonts w:ascii="Times New Roman" w:eastAsia="仿宋_GB2312" w:hAnsi="Times New Roman" w:cs="Times New Roman"/>
                <w:color w:val="000000"/>
                <w:spacing w:val="-3"/>
                <w:kern w:val="0"/>
                <w:sz w:val="24"/>
              </w:rPr>
              <w:t>分</w:t>
            </w:r>
          </w:p>
        </w:tc>
        <w:tc>
          <w:tcPr>
            <w:tcW w:w="456"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hAnsi="Times New Roman" w:cs="Times New Roman"/>
                <w:kern w:val="0"/>
                <w:szCs w:val="21"/>
              </w:rPr>
            </w:pPr>
            <w:r>
              <w:rPr>
                <w:rFonts w:ascii="Times New Roman" w:hAnsi="Times New Roman" w:cs="Times New Roman"/>
                <w:color w:val="000000"/>
                <w:spacing w:val="-3"/>
                <w:kern w:val="0"/>
                <w:sz w:val="24"/>
              </w:rPr>
              <w:t> </w:t>
            </w:r>
          </w:p>
        </w:tc>
      </w:tr>
      <w:tr w:rsidR="00192CCF">
        <w:trPr>
          <w:trHeight w:val="299"/>
        </w:trPr>
        <w:tc>
          <w:tcPr>
            <w:tcW w:w="301" w:type="pct"/>
            <w:vMerge/>
            <w:tcBorders>
              <w:top w:val="nil"/>
              <w:left w:val="single" w:sz="8" w:space="0" w:color="auto"/>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533"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327"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1181"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1"/>
                <w:kern w:val="0"/>
                <w:sz w:val="24"/>
              </w:rPr>
              <w:t>3</w:t>
            </w:r>
            <w:r>
              <w:rPr>
                <w:rFonts w:ascii="Times New Roman" w:eastAsia="仿宋_GB2312" w:hAnsi="Times New Roman" w:cs="Times New Roman"/>
                <w:color w:val="000000"/>
                <w:spacing w:val="-3"/>
                <w:kern w:val="0"/>
                <w:sz w:val="24"/>
              </w:rPr>
              <w:t>-5</w:t>
            </w:r>
            <w:r>
              <w:rPr>
                <w:rFonts w:ascii="Times New Roman" w:eastAsia="仿宋_GB2312" w:hAnsi="Times New Roman" w:cs="Times New Roman"/>
                <w:color w:val="000000"/>
                <w:spacing w:val="-1"/>
                <w:kern w:val="0"/>
                <w:sz w:val="24"/>
              </w:rPr>
              <w:t> </w:t>
            </w:r>
            <w:r>
              <w:rPr>
                <w:rFonts w:ascii="Times New Roman" w:eastAsia="仿宋_GB2312" w:hAnsi="Times New Roman" w:cs="Times New Roman"/>
                <w:color w:val="000000"/>
                <w:spacing w:val="-2"/>
                <w:kern w:val="0"/>
                <w:sz w:val="24"/>
              </w:rPr>
              <w:t>个，</w:t>
            </w:r>
            <w:r>
              <w:rPr>
                <w:rFonts w:ascii="Times New Roman" w:eastAsia="仿宋_GB2312" w:hAnsi="Times New Roman" w:cs="Times New Roman"/>
                <w:color w:val="000000"/>
                <w:spacing w:val="-2"/>
                <w:kern w:val="0"/>
                <w:sz w:val="24"/>
              </w:rPr>
              <w:t>+10</w:t>
            </w:r>
            <w:r>
              <w:rPr>
                <w:rFonts w:ascii="Times New Roman" w:eastAsia="仿宋_GB2312" w:hAnsi="Times New Roman" w:cs="Times New Roman"/>
                <w:color w:val="000000"/>
                <w:spacing w:val="-6"/>
                <w:kern w:val="0"/>
                <w:sz w:val="24"/>
              </w:rPr>
              <w:t>分</w:t>
            </w:r>
          </w:p>
        </w:tc>
        <w:tc>
          <w:tcPr>
            <w:tcW w:w="456"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hAnsi="Times New Roman" w:cs="Times New Roman"/>
                <w:kern w:val="0"/>
                <w:szCs w:val="21"/>
              </w:rPr>
            </w:pPr>
          </w:p>
        </w:tc>
      </w:tr>
      <w:tr w:rsidR="00192CCF">
        <w:trPr>
          <w:trHeight w:val="299"/>
        </w:trPr>
        <w:tc>
          <w:tcPr>
            <w:tcW w:w="301" w:type="pct"/>
            <w:vMerge/>
            <w:tcBorders>
              <w:top w:val="nil"/>
              <w:left w:val="single" w:sz="8" w:space="0" w:color="auto"/>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533"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327"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1181"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1"/>
                <w:kern w:val="0"/>
                <w:sz w:val="24"/>
              </w:rPr>
              <w:t>6</w:t>
            </w:r>
            <w:r>
              <w:rPr>
                <w:rFonts w:ascii="Times New Roman" w:eastAsia="仿宋_GB2312" w:hAnsi="Times New Roman" w:cs="Times New Roman"/>
                <w:color w:val="000000"/>
                <w:spacing w:val="-3"/>
                <w:kern w:val="0"/>
                <w:sz w:val="24"/>
              </w:rPr>
              <w:t> </w:t>
            </w:r>
            <w:r>
              <w:rPr>
                <w:rFonts w:ascii="Times New Roman" w:eastAsia="仿宋_GB2312" w:hAnsi="Times New Roman" w:cs="Times New Roman"/>
                <w:color w:val="000000"/>
                <w:spacing w:val="-3"/>
                <w:kern w:val="0"/>
                <w:sz w:val="24"/>
              </w:rPr>
              <w:t>个及以上，</w:t>
            </w:r>
            <w:r>
              <w:rPr>
                <w:rFonts w:ascii="Times New Roman" w:eastAsia="仿宋_GB2312" w:hAnsi="Times New Roman" w:cs="Times New Roman"/>
                <w:color w:val="000000"/>
                <w:spacing w:val="-3"/>
                <w:kern w:val="0"/>
                <w:sz w:val="24"/>
              </w:rPr>
              <w:t>+15</w:t>
            </w:r>
            <w:r>
              <w:rPr>
                <w:rFonts w:ascii="Times New Roman" w:eastAsia="仿宋_GB2312" w:hAnsi="Times New Roman" w:cs="Times New Roman"/>
                <w:color w:val="000000"/>
                <w:kern w:val="0"/>
                <w:sz w:val="24"/>
              </w:rPr>
              <w:t>分</w:t>
            </w:r>
          </w:p>
        </w:tc>
        <w:tc>
          <w:tcPr>
            <w:tcW w:w="456"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hAnsi="Times New Roman" w:cs="Times New Roman"/>
                <w:kern w:val="0"/>
                <w:szCs w:val="21"/>
              </w:rPr>
            </w:pPr>
          </w:p>
        </w:tc>
      </w:tr>
      <w:tr w:rsidR="00192CCF">
        <w:trPr>
          <w:trHeight w:val="301"/>
        </w:trPr>
        <w:tc>
          <w:tcPr>
            <w:tcW w:w="30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6</w:t>
            </w:r>
          </w:p>
        </w:tc>
        <w:tc>
          <w:tcPr>
            <w:tcW w:w="533"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压力</w:t>
            </w:r>
          </w:p>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容器</w:t>
            </w:r>
          </w:p>
        </w:tc>
        <w:tc>
          <w:tcPr>
            <w:tcW w:w="32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4"/>
                <w:kern w:val="0"/>
                <w:sz w:val="24"/>
              </w:rPr>
              <w:t>15</w:t>
            </w:r>
          </w:p>
        </w:tc>
        <w:tc>
          <w:tcPr>
            <w:tcW w:w="118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4"/>
                <w:kern w:val="0"/>
                <w:sz w:val="24"/>
              </w:rPr>
              <w:t>压力容器（气瓶除外）数量</w:t>
            </w: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1"/>
                <w:kern w:val="0"/>
                <w:sz w:val="24"/>
              </w:rPr>
              <w:t>1</w:t>
            </w:r>
            <w:r>
              <w:rPr>
                <w:rFonts w:ascii="Times New Roman" w:eastAsia="仿宋_GB2312" w:hAnsi="Times New Roman" w:cs="Times New Roman"/>
                <w:color w:val="000000"/>
                <w:spacing w:val="-3"/>
                <w:kern w:val="0"/>
                <w:sz w:val="24"/>
              </w:rPr>
              <w:t>-2</w:t>
            </w:r>
            <w:r>
              <w:rPr>
                <w:rFonts w:ascii="Times New Roman" w:eastAsia="仿宋_GB2312" w:hAnsi="Times New Roman" w:cs="Times New Roman"/>
                <w:color w:val="000000"/>
                <w:spacing w:val="-1"/>
                <w:kern w:val="0"/>
                <w:sz w:val="24"/>
              </w:rPr>
              <w:t> </w:t>
            </w:r>
            <w:r>
              <w:rPr>
                <w:rFonts w:ascii="Times New Roman" w:eastAsia="仿宋_GB2312" w:hAnsi="Times New Roman" w:cs="Times New Roman"/>
                <w:color w:val="000000"/>
                <w:spacing w:val="-2"/>
                <w:kern w:val="0"/>
                <w:sz w:val="24"/>
              </w:rPr>
              <w:t>台，</w:t>
            </w:r>
            <w:r>
              <w:rPr>
                <w:rFonts w:ascii="Times New Roman" w:eastAsia="仿宋_GB2312" w:hAnsi="Times New Roman" w:cs="Times New Roman"/>
                <w:color w:val="000000"/>
                <w:spacing w:val="-3"/>
                <w:kern w:val="0"/>
                <w:sz w:val="24"/>
              </w:rPr>
              <w:t>+5</w:t>
            </w:r>
            <w:r>
              <w:rPr>
                <w:rFonts w:ascii="Times New Roman" w:eastAsia="仿宋_GB2312" w:hAnsi="Times New Roman" w:cs="Times New Roman"/>
                <w:color w:val="000000"/>
                <w:spacing w:val="-3"/>
                <w:kern w:val="0"/>
                <w:sz w:val="24"/>
              </w:rPr>
              <w:t>分</w:t>
            </w:r>
          </w:p>
        </w:tc>
        <w:tc>
          <w:tcPr>
            <w:tcW w:w="456"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hAnsi="Times New Roman" w:cs="Times New Roman"/>
                <w:kern w:val="0"/>
                <w:szCs w:val="21"/>
              </w:rPr>
            </w:pPr>
            <w:r>
              <w:rPr>
                <w:rFonts w:ascii="Times New Roman" w:hAnsi="Times New Roman" w:cs="Times New Roman"/>
                <w:color w:val="000000"/>
                <w:spacing w:val="-3"/>
                <w:kern w:val="0"/>
                <w:sz w:val="24"/>
              </w:rPr>
              <w:t> </w:t>
            </w:r>
          </w:p>
        </w:tc>
      </w:tr>
      <w:tr w:rsidR="00192CCF">
        <w:trPr>
          <w:trHeight w:val="299"/>
        </w:trPr>
        <w:tc>
          <w:tcPr>
            <w:tcW w:w="301" w:type="pct"/>
            <w:vMerge/>
            <w:tcBorders>
              <w:top w:val="nil"/>
              <w:left w:val="single" w:sz="8" w:space="0" w:color="auto"/>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533"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327"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1181"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1"/>
                <w:kern w:val="0"/>
                <w:sz w:val="24"/>
              </w:rPr>
              <w:t>3</w:t>
            </w:r>
            <w:r>
              <w:rPr>
                <w:rFonts w:ascii="Times New Roman" w:eastAsia="仿宋_GB2312" w:hAnsi="Times New Roman" w:cs="Times New Roman"/>
                <w:color w:val="000000"/>
                <w:spacing w:val="-3"/>
                <w:kern w:val="0"/>
                <w:sz w:val="24"/>
              </w:rPr>
              <w:t>-5</w:t>
            </w:r>
            <w:r>
              <w:rPr>
                <w:rFonts w:ascii="Times New Roman" w:eastAsia="仿宋_GB2312" w:hAnsi="Times New Roman" w:cs="Times New Roman"/>
                <w:color w:val="000000"/>
                <w:spacing w:val="-1"/>
                <w:kern w:val="0"/>
                <w:sz w:val="24"/>
              </w:rPr>
              <w:t> </w:t>
            </w:r>
            <w:r>
              <w:rPr>
                <w:rFonts w:ascii="Times New Roman" w:eastAsia="仿宋_GB2312" w:hAnsi="Times New Roman" w:cs="Times New Roman"/>
                <w:color w:val="000000"/>
                <w:spacing w:val="-2"/>
                <w:kern w:val="0"/>
                <w:sz w:val="24"/>
              </w:rPr>
              <w:t>台，</w:t>
            </w:r>
            <w:r>
              <w:rPr>
                <w:rFonts w:ascii="Times New Roman" w:eastAsia="仿宋_GB2312" w:hAnsi="Times New Roman" w:cs="Times New Roman"/>
                <w:color w:val="000000"/>
                <w:spacing w:val="-2"/>
                <w:kern w:val="0"/>
                <w:sz w:val="24"/>
              </w:rPr>
              <w:t>+10</w:t>
            </w:r>
            <w:r>
              <w:rPr>
                <w:rFonts w:ascii="Times New Roman" w:eastAsia="仿宋_GB2312" w:hAnsi="Times New Roman" w:cs="Times New Roman"/>
                <w:color w:val="000000"/>
                <w:spacing w:val="-6"/>
                <w:kern w:val="0"/>
                <w:sz w:val="24"/>
              </w:rPr>
              <w:t>分</w:t>
            </w:r>
          </w:p>
        </w:tc>
        <w:tc>
          <w:tcPr>
            <w:tcW w:w="456"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hAnsi="Times New Roman" w:cs="Times New Roman"/>
                <w:kern w:val="0"/>
                <w:szCs w:val="21"/>
              </w:rPr>
            </w:pPr>
          </w:p>
        </w:tc>
      </w:tr>
      <w:tr w:rsidR="00192CCF">
        <w:trPr>
          <w:trHeight w:val="406"/>
        </w:trPr>
        <w:tc>
          <w:tcPr>
            <w:tcW w:w="301" w:type="pct"/>
            <w:vMerge/>
            <w:tcBorders>
              <w:top w:val="nil"/>
              <w:left w:val="single" w:sz="8" w:space="0" w:color="auto"/>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533"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327"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1181"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1"/>
                <w:kern w:val="0"/>
                <w:sz w:val="24"/>
              </w:rPr>
              <w:t>6</w:t>
            </w:r>
            <w:r>
              <w:rPr>
                <w:rFonts w:ascii="Times New Roman" w:eastAsia="宋体" w:hAnsi="Times New Roman" w:cs="Times New Roman"/>
                <w:color w:val="000000"/>
                <w:spacing w:val="-3"/>
                <w:kern w:val="0"/>
                <w:sz w:val="24"/>
              </w:rPr>
              <w:t> </w:t>
            </w:r>
            <w:r>
              <w:rPr>
                <w:rFonts w:ascii="Times New Roman" w:eastAsia="仿宋_GB2312" w:hAnsi="Times New Roman" w:cs="Times New Roman"/>
                <w:color w:val="000000"/>
                <w:spacing w:val="-4"/>
                <w:kern w:val="0"/>
                <w:sz w:val="24"/>
              </w:rPr>
              <w:t>台及以上，</w:t>
            </w:r>
            <w:r>
              <w:rPr>
                <w:rFonts w:ascii="Times New Roman" w:eastAsia="仿宋_GB2312" w:hAnsi="Times New Roman" w:cs="Times New Roman"/>
                <w:color w:val="000000"/>
                <w:spacing w:val="-2"/>
                <w:kern w:val="0"/>
                <w:sz w:val="24"/>
              </w:rPr>
              <w:t>+15</w:t>
            </w:r>
            <w:r>
              <w:rPr>
                <w:rFonts w:ascii="Times New Roman" w:eastAsia="仿宋_GB2312" w:hAnsi="Times New Roman" w:cs="Times New Roman"/>
                <w:color w:val="000000"/>
                <w:kern w:val="0"/>
                <w:sz w:val="24"/>
              </w:rPr>
              <w:t>分</w:t>
            </w:r>
          </w:p>
        </w:tc>
        <w:tc>
          <w:tcPr>
            <w:tcW w:w="456"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hAnsi="Times New Roman" w:cs="Times New Roman"/>
                <w:kern w:val="0"/>
                <w:szCs w:val="21"/>
              </w:rPr>
            </w:pPr>
          </w:p>
        </w:tc>
      </w:tr>
      <w:tr w:rsidR="00192CCF">
        <w:trPr>
          <w:trHeight w:val="301"/>
        </w:trPr>
        <w:tc>
          <w:tcPr>
            <w:tcW w:w="30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7</w:t>
            </w:r>
          </w:p>
        </w:tc>
        <w:tc>
          <w:tcPr>
            <w:tcW w:w="533"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kern w:val="0"/>
                <w:sz w:val="24"/>
              </w:rPr>
              <w:t>加热</w:t>
            </w:r>
            <w:r>
              <w:rPr>
                <w:rFonts w:ascii="Times New Roman" w:eastAsia="仿宋_GB2312" w:hAnsi="Times New Roman" w:cs="Times New Roman"/>
                <w:color w:val="000000"/>
                <w:kern w:val="0"/>
                <w:sz w:val="24"/>
              </w:rPr>
              <w:t>/</w:t>
            </w:r>
            <w:r>
              <w:rPr>
                <w:rFonts w:ascii="Times New Roman" w:eastAsia="仿宋_GB2312" w:hAnsi="Times New Roman" w:cs="Times New Roman"/>
                <w:color w:val="000000"/>
                <w:kern w:val="0"/>
                <w:sz w:val="24"/>
              </w:rPr>
              <w:t>制冷</w:t>
            </w:r>
          </w:p>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kern w:val="0"/>
                <w:sz w:val="24"/>
              </w:rPr>
              <w:t>设备</w:t>
            </w:r>
          </w:p>
        </w:tc>
        <w:tc>
          <w:tcPr>
            <w:tcW w:w="32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4"/>
                <w:kern w:val="0"/>
                <w:sz w:val="24"/>
              </w:rPr>
              <w:t>5</w:t>
            </w:r>
          </w:p>
        </w:tc>
        <w:tc>
          <w:tcPr>
            <w:tcW w:w="118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4"/>
                <w:kern w:val="0"/>
                <w:sz w:val="24"/>
              </w:rPr>
              <w:t>烘箱、马弗炉、涉及使用液氮的设备等（冰箱除外）数量</w:t>
            </w: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1"/>
                <w:kern w:val="0"/>
                <w:sz w:val="24"/>
              </w:rPr>
              <w:t>1</w:t>
            </w:r>
            <w:r>
              <w:rPr>
                <w:rFonts w:ascii="Times New Roman" w:eastAsia="仿宋_GB2312" w:hAnsi="Times New Roman" w:cs="Times New Roman"/>
                <w:color w:val="000000"/>
                <w:spacing w:val="-3"/>
                <w:kern w:val="0"/>
                <w:sz w:val="24"/>
              </w:rPr>
              <w:t>-2</w:t>
            </w:r>
            <w:r>
              <w:rPr>
                <w:rFonts w:ascii="Times New Roman" w:eastAsia="宋体" w:hAnsi="Times New Roman" w:cs="Times New Roman"/>
                <w:color w:val="000000"/>
                <w:spacing w:val="-1"/>
                <w:kern w:val="0"/>
                <w:sz w:val="24"/>
              </w:rPr>
              <w:t> </w:t>
            </w:r>
            <w:r>
              <w:rPr>
                <w:rFonts w:ascii="Times New Roman" w:eastAsia="仿宋_GB2312" w:hAnsi="Times New Roman" w:cs="Times New Roman"/>
                <w:color w:val="000000"/>
                <w:spacing w:val="-2"/>
                <w:kern w:val="0"/>
                <w:sz w:val="24"/>
              </w:rPr>
              <w:t>台，</w:t>
            </w:r>
            <w:r>
              <w:rPr>
                <w:rFonts w:ascii="Times New Roman" w:eastAsia="仿宋_GB2312" w:hAnsi="Times New Roman" w:cs="Times New Roman"/>
                <w:color w:val="000000"/>
                <w:spacing w:val="-3"/>
                <w:kern w:val="0"/>
                <w:sz w:val="24"/>
              </w:rPr>
              <w:t>+1</w:t>
            </w:r>
            <w:r>
              <w:rPr>
                <w:rFonts w:ascii="Times New Roman" w:eastAsia="仿宋_GB2312" w:hAnsi="Times New Roman" w:cs="Times New Roman"/>
                <w:color w:val="000000"/>
                <w:spacing w:val="-3"/>
                <w:kern w:val="0"/>
                <w:sz w:val="24"/>
              </w:rPr>
              <w:t>分</w:t>
            </w:r>
          </w:p>
        </w:tc>
        <w:tc>
          <w:tcPr>
            <w:tcW w:w="456"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hAnsi="Times New Roman" w:cs="Times New Roman"/>
                <w:kern w:val="0"/>
                <w:szCs w:val="21"/>
              </w:rPr>
            </w:pPr>
            <w:r>
              <w:rPr>
                <w:rFonts w:ascii="Times New Roman" w:hAnsi="Times New Roman" w:cs="Times New Roman"/>
                <w:color w:val="000000"/>
                <w:spacing w:val="-3"/>
                <w:kern w:val="0"/>
                <w:sz w:val="24"/>
              </w:rPr>
              <w:t> </w:t>
            </w:r>
          </w:p>
        </w:tc>
      </w:tr>
      <w:tr w:rsidR="00192CCF">
        <w:trPr>
          <w:trHeight w:val="299"/>
        </w:trPr>
        <w:tc>
          <w:tcPr>
            <w:tcW w:w="301" w:type="pct"/>
            <w:vMerge/>
            <w:tcBorders>
              <w:top w:val="nil"/>
              <w:left w:val="single" w:sz="8" w:space="0" w:color="auto"/>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533"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327"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1181"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1"/>
                <w:kern w:val="0"/>
                <w:sz w:val="24"/>
              </w:rPr>
              <w:t>3</w:t>
            </w:r>
            <w:r>
              <w:rPr>
                <w:rFonts w:ascii="Times New Roman" w:eastAsia="仿宋_GB2312" w:hAnsi="Times New Roman" w:cs="Times New Roman"/>
                <w:color w:val="000000"/>
                <w:spacing w:val="-3"/>
                <w:kern w:val="0"/>
                <w:sz w:val="24"/>
              </w:rPr>
              <w:t>-5</w:t>
            </w:r>
            <w:r>
              <w:rPr>
                <w:rFonts w:ascii="Times New Roman" w:eastAsia="宋体" w:hAnsi="Times New Roman" w:cs="Times New Roman"/>
                <w:color w:val="000000"/>
                <w:spacing w:val="-1"/>
                <w:kern w:val="0"/>
                <w:sz w:val="24"/>
              </w:rPr>
              <w:t> </w:t>
            </w:r>
            <w:r>
              <w:rPr>
                <w:rFonts w:ascii="Times New Roman" w:eastAsia="仿宋_GB2312" w:hAnsi="Times New Roman" w:cs="Times New Roman"/>
                <w:color w:val="000000"/>
                <w:spacing w:val="-2"/>
                <w:kern w:val="0"/>
                <w:sz w:val="24"/>
              </w:rPr>
              <w:t>台，</w:t>
            </w:r>
            <w:r>
              <w:rPr>
                <w:rFonts w:ascii="Times New Roman" w:eastAsia="仿宋_GB2312" w:hAnsi="Times New Roman" w:cs="Times New Roman"/>
                <w:color w:val="000000"/>
                <w:spacing w:val="-2"/>
                <w:kern w:val="0"/>
                <w:sz w:val="24"/>
              </w:rPr>
              <w:t>+3</w:t>
            </w:r>
            <w:r>
              <w:rPr>
                <w:rFonts w:ascii="Times New Roman" w:eastAsia="仿宋_GB2312" w:hAnsi="Times New Roman" w:cs="Times New Roman"/>
                <w:color w:val="000000"/>
                <w:spacing w:val="-6"/>
                <w:kern w:val="0"/>
                <w:sz w:val="24"/>
              </w:rPr>
              <w:t>分</w:t>
            </w:r>
          </w:p>
        </w:tc>
        <w:tc>
          <w:tcPr>
            <w:tcW w:w="456"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hAnsi="Times New Roman" w:cs="Times New Roman"/>
                <w:kern w:val="0"/>
                <w:szCs w:val="21"/>
              </w:rPr>
            </w:pPr>
          </w:p>
        </w:tc>
      </w:tr>
      <w:tr w:rsidR="00192CCF">
        <w:trPr>
          <w:trHeight w:val="281"/>
        </w:trPr>
        <w:tc>
          <w:tcPr>
            <w:tcW w:w="301" w:type="pct"/>
            <w:vMerge/>
            <w:tcBorders>
              <w:top w:val="nil"/>
              <w:left w:val="single" w:sz="8" w:space="0" w:color="auto"/>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533"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327"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1181"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1"/>
                <w:kern w:val="0"/>
                <w:sz w:val="24"/>
              </w:rPr>
              <w:t>6</w:t>
            </w:r>
            <w:r>
              <w:rPr>
                <w:rFonts w:ascii="Times New Roman" w:eastAsia="宋体" w:hAnsi="Times New Roman" w:cs="Times New Roman"/>
                <w:color w:val="000000"/>
                <w:spacing w:val="-3"/>
                <w:kern w:val="0"/>
                <w:sz w:val="24"/>
              </w:rPr>
              <w:t> </w:t>
            </w:r>
            <w:r>
              <w:rPr>
                <w:rFonts w:ascii="Times New Roman" w:eastAsia="仿宋_GB2312" w:hAnsi="Times New Roman" w:cs="Times New Roman"/>
                <w:color w:val="000000"/>
                <w:spacing w:val="-4"/>
                <w:kern w:val="0"/>
                <w:sz w:val="24"/>
              </w:rPr>
              <w:t>台及以上，</w:t>
            </w:r>
            <w:r>
              <w:rPr>
                <w:rFonts w:ascii="Times New Roman" w:eastAsia="仿宋_GB2312" w:hAnsi="Times New Roman" w:cs="Times New Roman"/>
                <w:color w:val="000000"/>
                <w:spacing w:val="-2"/>
                <w:kern w:val="0"/>
                <w:sz w:val="24"/>
              </w:rPr>
              <w:t>+5</w:t>
            </w:r>
            <w:r>
              <w:rPr>
                <w:rFonts w:ascii="Times New Roman" w:eastAsia="仿宋_GB2312" w:hAnsi="Times New Roman" w:cs="Times New Roman"/>
                <w:color w:val="000000"/>
                <w:kern w:val="0"/>
                <w:sz w:val="24"/>
              </w:rPr>
              <w:t>分</w:t>
            </w:r>
          </w:p>
        </w:tc>
        <w:tc>
          <w:tcPr>
            <w:tcW w:w="456"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hAnsi="Times New Roman" w:cs="Times New Roman"/>
                <w:kern w:val="0"/>
                <w:szCs w:val="21"/>
              </w:rPr>
            </w:pPr>
          </w:p>
        </w:tc>
      </w:tr>
      <w:tr w:rsidR="00192CCF">
        <w:trPr>
          <w:trHeight w:val="320"/>
        </w:trPr>
        <w:tc>
          <w:tcPr>
            <w:tcW w:w="30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8</w:t>
            </w:r>
          </w:p>
        </w:tc>
        <w:tc>
          <w:tcPr>
            <w:tcW w:w="533"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冰箱</w:t>
            </w:r>
          </w:p>
        </w:tc>
        <w:tc>
          <w:tcPr>
            <w:tcW w:w="32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eastAsia="仿宋_GB2312" w:hAnsi="Times New Roman" w:cs="Times New Roman"/>
                <w:kern w:val="0"/>
                <w:szCs w:val="21"/>
              </w:rPr>
            </w:pPr>
            <w:r>
              <w:rPr>
                <w:rFonts w:ascii="Times New Roman" w:eastAsia="仿宋_GB2312" w:hAnsi="Times New Roman" w:cs="Times New Roman"/>
                <w:color w:val="000000"/>
                <w:spacing w:val="1"/>
                <w:kern w:val="0"/>
                <w:sz w:val="24"/>
              </w:rPr>
              <w:t>10</w:t>
            </w:r>
          </w:p>
        </w:tc>
        <w:tc>
          <w:tcPr>
            <w:tcW w:w="118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1"/>
                <w:kern w:val="0"/>
                <w:sz w:val="24"/>
              </w:rPr>
              <w:t>存放危</w:t>
            </w:r>
            <w:r>
              <w:rPr>
                <w:rFonts w:ascii="Times New Roman" w:eastAsia="仿宋_GB2312" w:hAnsi="Times New Roman" w:cs="Times New Roman"/>
                <w:color w:val="000000"/>
                <w:spacing w:val="-4"/>
                <w:kern w:val="0"/>
                <w:sz w:val="24"/>
              </w:rPr>
              <w:t>险化学品的冰箱使用年限，是否为防爆冰箱</w:t>
            </w: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使用年限＜</w:t>
            </w:r>
            <w:r>
              <w:rPr>
                <w:rFonts w:ascii="Times New Roman" w:eastAsia="仿宋_GB2312" w:hAnsi="Times New Roman" w:cs="Times New Roman"/>
                <w:color w:val="000000"/>
                <w:spacing w:val="-3"/>
                <w:kern w:val="0"/>
                <w:sz w:val="24"/>
              </w:rPr>
              <w:t>5</w:t>
            </w:r>
            <w:r>
              <w:rPr>
                <w:rFonts w:ascii="Times New Roman" w:eastAsia="仿宋_GB2312" w:hAnsi="Times New Roman" w:cs="Times New Roman"/>
                <w:color w:val="000000"/>
                <w:spacing w:val="-3"/>
                <w:kern w:val="0"/>
                <w:sz w:val="24"/>
              </w:rPr>
              <w:t>年，</w:t>
            </w:r>
            <w:r>
              <w:rPr>
                <w:rFonts w:ascii="Times New Roman" w:eastAsia="仿宋_GB2312" w:hAnsi="Times New Roman" w:cs="Times New Roman"/>
                <w:color w:val="000000"/>
                <w:spacing w:val="-3"/>
                <w:kern w:val="0"/>
                <w:sz w:val="24"/>
              </w:rPr>
              <w:t>+1</w:t>
            </w:r>
            <w:r>
              <w:rPr>
                <w:rFonts w:ascii="Times New Roman" w:eastAsia="仿宋_GB2312" w:hAnsi="Times New Roman" w:cs="Times New Roman"/>
                <w:color w:val="000000"/>
                <w:spacing w:val="-3"/>
                <w:kern w:val="0"/>
                <w:sz w:val="24"/>
              </w:rPr>
              <w:t>分</w:t>
            </w:r>
          </w:p>
        </w:tc>
        <w:tc>
          <w:tcPr>
            <w:tcW w:w="456"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jc w:val="center"/>
              <w:rPr>
                <w:rFonts w:ascii="Times New Roman" w:hAnsi="Times New Roman" w:cs="Times New Roman"/>
                <w:kern w:val="0"/>
                <w:szCs w:val="21"/>
              </w:rPr>
            </w:pPr>
            <w:r>
              <w:rPr>
                <w:rFonts w:ascii="Times New Roman" w:hAnsi="Times New Roman" w:cs="Times New Roman"/>
                <w:color w:val="000000"/>
                <w:spacing w:val="-3"/>
                <w:kern w:val="0"/>
                <w:sz w:val="24"/>
              </w:rPr>
              <w:t> </w:t>
            </w:r>
          </w:p>
        </w:tc>
      </w:tr>
      <w:tr w:rsidR="00192CCF">
        <w:trPr>
          <w:trHeight w:val="318"/>
        </w:trPr>
        <w:tc>
          <w:tcPr>
            <w:tcW w:w="301" w:type="pct"/>
            <w:vMerge/>
            <w:tcBorders>
              <w:top w:val="nil"/>
              <w:left w:val="single" w:sz="8" w:space="0" w:color="auto"/>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533"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327"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1181"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3"/>
                <w:kern w:val="0"/>
                <w:sz w:val="24"/>
              </w:rPr>
              <w:t>5</w:t>
            </w:r>
            <w:r>
              <w:rPr>
                <w:rFonts w:ascii="Times New Roman" w:eastAsia="仿宋_GB2312" w:hAnsi="Times New Roman" w:cs="Times New Roman"/>
                <w:color w:val="000000"/>
                <w:spacing w:val="-3"/>
                <w:kern w:val="0"/>
                <w:sz w:val="24"/>
              </w:rPr>
              <w:t>年</w:t>
            </w:r>
            <w:r>
              <w:rPr>
                <w:rFonts w:ascii="Times New Roman" w:eastAsia="仿宋_GB2312" w:hAnsi="Times New Roman" w:cs="Times New Roman"/>
                <w:color w:val="000000"/>
                <w:spacing w:val="-3"/>
                <w:kern w:val="0"/>
                <w:sz w:val="24"/>
              </w:rPr>
              <w:t>≤</w:t>
            </w:r>
            <w:r>
              <w:rPr>
                <w:rFonts w:ascii="Times New Roman" w:eastAsia="仿宋_GB2312" w:hAnsi="Times New Roman" w:cs="Times New Roman"/>
                <w:color w:val="000000"/>
                <w:spacing w:val="-4"/>
                <w:kern w:val="0"/>
                <w:sz w:val="24"/>
              </w:rPr>
              <w:t>使用年限</w:t>
            </w:r>
            <w:r>
              <w:rPr>
                <w:rFonts w:ascii="Times New Roman" w:eastAsia="仿宋_GB2312" w:hAnsi="Times New Roman" w:cs="Times New Roman"/>
                <w:color w:val="000000"/>
                <w:spacing w:val="-3"/>
                <w:kern w:val="0"/>
                <w:sz w:val="24"/>
              </w:rPr>
              <w:t>＜</w:t>
            </w:r>
            <w:r>
              <w:rPr>
                <w:rFonts w:ascii="Times New Roman" w:eastAsia="仿宋_GB2312" w:hAnsi="Times New Roman" w:cs="Times New Roman"/>
                <w:color w:val="000000"/>
                <w:spacing w:val="-3"/>
                <w:kern w:val="0"/>
                <w:sz w:val="24"/>
              </w:rPr>
              <w:t>8</w:t>
            </w:r>
            <w:r>
              <w:rPr>
                <w:rFonts w:ascii="Times New Roman" w:eastAsia="仿宋_GB2312" w:hAnsi="Times New Roman" w:cs="Times New Roman"/>
                <w:color w:val="000000"/>
                <w:spacing w:val="-3"/>
                <w:kern w:val="0"/>
                <w:sz w:val="24"/>
              </w:rPr>
              <w:t>年，</w:t>
            </w:r>
            <w:r>
              <w:rPr>
                <w:rFonts w:ascii="Times New Roman" w:eastAsia="仿宋_GB2312" w:hAnsi="Times New Roman" w:cs="Times New Roman"/>
                <w:color w:val="000000"/>
                <w:spacing w:val="-3"/>
                <w:kern w:val="0"/>
                <w:sz w:val="24"/>
              </w:rPr>
              <w:t>+3</w:t>
            </w:r>
            <w:r>
              <w:rPr>
                <w:rFonts w:ascii="Times New Roman" w:eastAsia="仿宋_GB2312" w:hAnsi="Times New Roman" w:cs="Times New Roman"/>
                <w:color w:val="000000"/>
                <w:spacing w:val="-3"/>
                <w:kern w:val="0"/>
                <w:sz w:val="24"/>
              </w:rPr>
              <w:t>分</w:t>
            </w:r>
          </w:p>
        </w:tc>
        <w:tc>
          <w:tcPr>
            <w:tcW w:w="456"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hAnsi="Times New Roman" w:cs="Times New Roman"/>
                <w:kern w:val="0"/>
                <w:szCs w:val="21"/>
              </w:rPr>
            </w:pPr>
          </w:p>
        </w:tc>
      </w:tr>
      <w:tr w:rsidR="00192CCF">
        <w:trPr>
          <w:trHeight w:val="318"/>
        </w:trPr>
        <w:tc>
          <w:tcPr>
            <w:tcW w:w="301" w:type="pct"/>
            <w:vMerge/>
            <w:tcBorders>
              <w:top w:val="nil"/>
              <w:left w:val="single" w:sz="8" w:space="0" w:color="auto"/>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533"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327"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1181"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4"/>
                <w:kern w:val="0"/>
                <w:sz w:val="24"/>
              </w:rPr>
              <w:t>使用年限</w:t>
            </w:r>
            <w:r>
              <w:rPr>
                <w:rFonts w:ascii="Times New Roman" w:eastAsia="仿宋_GB2312" w:hAnsi="Times New Roman" w:cs="Times New Roman"/>
                <w:spacing w:val="-4"/>
                <w:kern w:val="0"/>
                <w:sz w:val="24"/>
              </w:rPr>
              <w:t>≥</w:t>
            </w:r>
            <w:r>
              <w:rPr>
                <w:rFonts w:ascii="Times New Roman" w:eastAsia="仿宋_GB2312" w:hAnsi="Times New Roman" w:cs="Times New Roman"/>
                <w:color w:val="000000"/>
                <w:spacing w:val="-3"/>
                <w:kern w:val="0"/>
                <w:sz w:val="24"/>
              </w:rPr>
              <w:t>8</w:t>
            </w:r>
            <w:r>
              <w:rPr>
                <w:rFonts w:ascii="Times New Roman" w:eastAsia="仿宋_GB2312" w:hAnsi="Times New Roman" w:cs="Times New Roman"/>
                <w:color w:val="000000"/>
                <w:spacing w:val="-3"/>
                <w:kern w:val="0"/>
                <w:sz w:val="24"/>
              </w:rPr>
              <w:t>年，</w:t>
            </w:r>
            <w:r>
              <w:rPr>
                <w:rFonts w:ascii="Times New Roman" w:eastAsia="仿宋_GB2312" w:hAnsi="Times New Roman" w:cs="Times New Roman"/>
                <w:color w:val="000000"/>
                <w:spacing w:val="-3"/>
                <w:kern w:val="0"/>
                <w:sz w:val="24"/>
              </w:rPr>
              <w:t>+5</w:t>
            </w:r>
            <w:r>
              <w:rPr>
                <w:rFonts w:ascii="Times New Roman" w:eastAsia="仿宋_GB2312" w:hAnsi="Times New Roman" w:cs="Times New Roman"/>
                <w:color w:val="000000"/>
                <w:spacing w:val="-3"/>
                <w:kern w:val="0"/>
                <w:sz w:val="24"/>
              </w:rPr>
              <w:t>分</w:t>
            </w:r>
          </w:p>
        </w:tc>
        <w:tc>
          <w:tcPr>
            <w:tcW w:w="456"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hAnsi="Times New Roman" w:cs="Times New Roman"/>
                <w:kern w:val="0"/>
                <w:szCs w:val="21"/>
              </w:rPr>
            </w:pPr>
          </w:p>
        </w:tc>
      </w:tr>
      <w:tr w:rsidR="00192CCF">
        <w:trPr>
          <w:trHeight w:val="415"/>
        </w:trPr>
        <w:tc>
          <w:tcPr>
            <w:tcW w:w="301" w:type="pct"/>
            <w:vMerge/>
            <w:tcBorders>
              <w:top w:val="nil"/>
              <w:left w:val="single" w:sz="8" w:space="0" w:color="auto"/>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533"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327"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1181"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eastAsia="仿宋_GB2312" w:hAnsi="Times New Roman" w:cs="Times New Roman"/>
                <w:kern w:val="0"/>
                <w:szCs w:val="21"/>
              </w:rPr>
            </w:pPr>
          </w:p>
        </w:tc>
        <w:tc>
          <w:tcPr>
            <w:tcW w:w="2198" w:type="pct"/>
            <w:tcBorders>
              <w:top w:val="nil"/>
              <w:left w:val="nil"/>
              <w:bottom w:val="single" w:sz="8" w:space="0" w:color="auto"/>
              <w:right w:val="single" w:sz="8" w:space="0" w:color="auto"/>
            </w:tcBorders>
            <w:tcMar>
              <w:top w:w="0" w:type="dxa"/>
              <w:left w:w="108" w:type="dxa"/>
              <w:bottom w:w="0" w:type="dxa"/>
              <w:right w:w="108" w:type="dxa"/>
            </w:tcMar>
            <w:vAlign w:val="center"/>
          </w:tcPr>
          <w:p w:rsidR="00192CCF" w:rsidRDefault="00DF4770">
            <w:pPr>
              <w:widowControl/>
              <w:rPr>
                <w:rFonts w:ascii="Times New Roman" w:eastAsia="仿宋_GB2312" w:hAnsi="Times New Roman" w:cs="Times New Roman"/>
                <w:kern w:val="0"/>
                <w:szCs w:val="21"/>
              </w:rPr>
            </w:pPr>
            <w:r>
              <w:rPr>
                <w:rFonts w:ascii="Times New Roman" w:eastAsia="仿宋_GB2312" w:hAnsi="Times New Roman" w:cs="Times New Roman"/>
                <w:color w:val="000000"/>
                <w:spacing w:val="-4"/>
                <w:kern w:val="0"/>
                <w:sz w:val="24"/>
              </w:rPr>
              <w:t>不是防爆冰箱或未进行防爆改造</w:t>
            </w:r>
            <w:r>
              <w:rPr>
                <w:rFonts w:ascii="Times New Roman" w:eastAsia="仿宋_GB2312" w:hAnsi="Times New Roman" w:cs="Times New Roman"/>
                <w:color w:val="000000"/>
                <w:spacing w:val="-3"/>
                <w:kern w:val="0"/>
                <w:sz w:val="24"/>
              </w:rPr>
              <w:t>，</w:t>
            </w:r>
            <w:r>
              <w:rPr>
                <w:rFonts w:ascii="Times New Roman" w:eastAsia="仿宋_GB2312" w:hAnsi="Times New Roman" w:cs="Times New Roman"/>
                <w:color w:val="000000"/>
                <w:spacing w:val="-3"/>
                <w:kern w:val="0"/>
                <w:sz w:val="24"/>
              </w:rPr>
              <w:t>+5</w:t>
            </w:r>
            <w:r>
              <w:rPr>
                <w:rFonts w:ascii="Times New Roman" w:eastAsia="仿宋_GB2312" w:hAnsi="Times New Roman" w:cs="Times New Roman"/>
                <w:color w:val="000000"/>
                <w:spacing w:val="-3"/>
                <w:kern w:val="0"/>
                <w:sz w:val="24"/>
              </w:rPr>
              <w:t>分</w:t>
            </w:r>
          </w:p>
        </w:tc>
        <w:tc>
          <w:tcPr>
            <w:tcW w:w="456" w:type="pct"/>
            <w:vMerge/>
            <w:tcBorders>
              <w:top w:val="nil"/>
              <w:left w:val="nil"/>
              <w:bottom w:val="single" w:sz="8" w:space="0" w:color="auto"/>
              <w:right w:val="single" w:sz="8" w:space="0" w:color="auto"/>
            </w:tcBorders>
            <w:vAlign w:val="center"/>
          </w:tcPr>
          <w:p w:rsidR="00192CCF" w:rsidRDefault="00192CCF">
            <w:pPr>
              <w:widowControl/>
              <w:jc w:val="left"/>
              <w:rPr>
                <w:rFonts w:ascii="Times New Roman" w:hAnsi="Times New Roman" w:cs="Times New Roman"/>
                <w:kern w:val="0"/>
                <w:szCs w:val="21"/>
              </w:rPr>
            </w:pPr>
          </w:p>
        </w:tc>
      </w:tr>
    </w:tbl>
    <w:p w:rsidR="00192CCF" w:rsidRDefault="00192CCF">
      <w:pPr>
        <w:rPr>
          <w:rFonts w:ascii="Times New Roman" w:hAnsi="Times New Roman" w:cs="Times New Roman"/>
        </w:rPr>
      </w:pPr>
    </w:p>
    <w:sectPr w:rsidR="00192CCF" w:rsidSect="00192CCF">
      <w:pgSz w:w="16838" w:h="11906" w:orient="landscape"/>
      <w:pgMar w:top="760" w:right="1440" w:bottom="426"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770" w:rsidRDefault="00DF4770" w:rsidP="007D0076">
      <w:r>
        <w:separator/>
      </w:r>
    </w:p>
  </w:endnote>
  <w:endnote w:type="continuationSeparator" w:id="1">
    <w:p w:rsidR="00DF4770" w:rsidRDefault="00DF4770" w:rsidP="007D00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600476F2-1DA3-4328-8156-34C341FFB94B}"/>
    <w:embedBold r:id="rId2" w:subsetted="1" w:fontKey="{B0F904EE-A8C1-4A10-9371-9D6D70040E1D}"/>
  </w:font>
  <w:font w:name="方正小标宋_GBK">
    <w:altName w:val="Arial Unicode MS"/>
    <w:charset w:val="86"/>
    <w:family w:val="auto"/>
    <w:pitch w:val="default"/>
    <w:sig w:usb0="00000000" w:usb1="38CF7CFA" w:usb2="00082016" w:usb3="00000000" w:csb0="00040001" w:csb1="00000000"/>
    <w:embedRegular r:id="rId3" w:subsetted="1" w:fontKey="{EBC1E38A-2805-4645-ACB0-8F12CC7FDA88}"/>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770" w:rsidRDefault="00DF4770" w:rsidP="007D0076">
      <w:r>
        <w:separator/>
      </w:r>
    </w:p>
  </w:footnote>
  <w:footnote w:type="continuationSeparator" w:id="1">
    <w:p w:rsidR="00DF4770" w:rsidRDefault="00DF4770" w:rsidP="007D00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7777"/>
    <w:rsid w:val="0003528B"/>
    <w:rsid w:val="00192CCF"/>
    <w:rsid w:val="002606DB"/>
    <w:rsid w:val="004543CB"/>
    <w:rsid w:val="007D0076"/>
    <w:rsid w:val="00BF691B"/>
    <w:rsid w:val="00D97777"/>
    <w:rsid w:val="00DF4770"/>
    <w:rsid w:val="0756090D"/>
    <w:rsid w:val="155E4114"/>
    <w:rsid w:val="21DD681F"/>
    <w:rsid w:val="56ED41CA"/>
    <w:rsid w:val="7CB427E6"/>
    <w:rsid w:val="7FC558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C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92CC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92CC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92CCF"/>
    <w:pPr>
      <w:spacing w:beforeAutospacing="1" w:afterAutospacing="1"/>
      <w:jc w:val="left"/>
    </w:pPr>
    <w:rPr>
      <w:rFonts w:ascii="Calibri" w:eastAsia="宋体" w:hAnsi="Calibri" w:cs="Times New Roman"/>
      <w:kern w:val="0"/>
      <w:sz w:val="24"/>
      <w:szCs w:val="24"/>
    </w:rPr>
  </w:style>
  <w:style w:type="table" w:styleId="a6">
    <w:name w:val="Table Grid"/>
    <w:basedOn w:val="a1"/>
    <w:uiPriority w:val="59"/>
    <w:qFormat/>
    <w:rsid w:val="00192C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192CCF"/>
    <w:rPr>
      <w:sz w:val="18"/>
      <w:szCs w:val="18"/>
    </w:rPr>
  </w:style>
  <w:style w:type="character" w:customStyle="1" w:styleId="Char">
    <w:name w:val="页脚 Char"/>
    <w:basedOn w:val="a0"/>
    <w:link w:val="a3"/>
    <w:uiPriority w:val="99"/>
    <w:semiHidden/>
    <w:qFormat/>
    <w:rsid w:val="00192CC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369</Words>
  <Characters>2109</Characters>
  <Application>Microsoft Office Word</Application>
  <DocSecurity>0</DocSecurity>
  <Lines>17</Lines>
  <Paragraphs>4</Paragraphs>
  <ScaleCrop>false</ScaleCrop>
  <Company>Microsoft</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邹望蠡</dc:creator>
  <cp:lastModifiedBy>邹望蠡</cp:lastModifiedBy>
  <cp:revision>5</cp:revision>
  <dcterms:created xsi:type="dcterms:W3CDTF">2022-04-07T16:02:00Z</dcterms:created>
  <dcterms:modified xsi:type="dcterms:W3CDTF">2022-04-11T03:53:00Z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A89715FDED1F4540A71B597373D659F5</vt:lpwstr>
  </property>
</Properties>
</file>